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45" w:rsidRDefault="00602B8C">
      <w:pPr>
        <w:rPr>
          <w:b/>
        </w:rPr>
      </w:pPr>
      <w:r>
        <w:rPr>
          <w:b/>
        </w:rPr>
        <w:t>Pupil Premium</w:t>
      </w:r>
      <w:r w:rsidR="003F1A2D" w:rsidRPr="003F1A2D">
        <w:rPr>
          <w:b/>
        </w:rPr>
        <w:t xml:space="preserve"> Funding</w:t>
      </w:r>
    </w:p>
    <w:p w:rsidR="003F1A2D" w:rsidRDefault="003F1A2D">
      <w:r w:rsidRPr="003F1A2D">
        <w:t xml:space="preserve">The value of </w:t>
      </w:r>
      <w:r w:rsidR="00602B8C">
        <w:t>Pupil Premium Funding</w:t>
      </w:r>
      <w:r w:rsidRPr="003F1A2D">
        <w:t xml:space="preserve"> for academic </w:t>
      </w:r>
      <w:r w:rsidR="00DB43F0" w:rsidRPr="00DD564A">
        <w:t>year 2019-20</w:t>
      </w:r>
      <w:r w:rsidRPr="00DD564A">
        <w:t xml:space="preserve"> is £</w:t>
      </w:r>
      <w:r w:rsidR="00DD564A">
        <w:t xml:space="preserve">52,605. This includes funding for Service Children but not Looked </w:t>
      </w:r>
      <w:proofErr w:type="gramStart"/>
      <w:r w:rsidR="00DD564A">
        <w:t>After</w:t>
      </w:r>
      <w:proofErr w:type="gramEnd"/>
      <w:r w:rsidR="00DD564A">
        <w:t xml:space="preserve"> Children (LAC). </w:t>
      </w:r>
      <w:bookmarkStart w:id="0" w:name="_GoBack"/>
      <w:bookmarkEnd w:id="0"/>
    </w:p>
    <w:p w:rsidR="0083356C" w:rsidRPr="0083356C" w:rsidRDefault="0083356C">
      <w:pPr>
        <w:rPr>
          <w:b/>
        </w:rPr>
      </w:pPr>
      <w:r>
        <w:rPr>
          <w:b/>
        </w:rPr>
        <w:t>Rationale</w:t>
      </w:r>
    </w:p>
    <w:p w:rsidR="00602B8C" w:rsidRDefault="00602B8C" w:rsidP="00602B8C">
      <w:pPr>
        <w:shd w:val="clear" w:color="auto" w:fill="FFFFFF"/>
        <w:spacing w:after="300" w:line="240" w:lineRule="auto"/>
      </w:pPr>
      <w:r w:rsidRPr="00602B8C">
        <w:t>The pupil premium is additional funding for publicly funded schools in England.</w:t>
      </w:r>
      <w:r>
        <w:t xml:space="preserve"> It is</w:t>
      </w:r>
      <w:r w:rsidRPr="00602B8C">
        <w:t xml:space="preserve"> designed to help disadvantaged pupils of all abilities perform better, and close the gap between them and their peers.</w:t>
      </w:r>
    </w:p>
    <w:p w:rsidR="00FD0B1C" w:rsidRDefault="00FD0B1C" w:rsidP="00602B8C">
      <w:pPr>
        <w:shd w:val="clear" w:color="auto" w:fill="FFFFFF"/>
        <w:spacing w:after="300" w:line="240" w:lineRule="auto"/>
      </w:pPr>
      <w:r>
        <w:t>The basic amount for each pupil is;</w:t>
      </w:r>
    </w:p>
    <w:p w:rsidR="00FD0B1C" w:rsidRPr="00950BDE" w:rsidRDefault="00FD0B1C" w:rsidP="00602B8C">
      <w:pPr>
        <w:shd w:val="clear" w:color="auto" w:fill="FFFFFF"/>
        <w:spacing w:after="300" w:line="240" w:lineRule="auto"/>
        <w:rPr>
          <w:color w:val="FF0000"/>
        </w:rPr>
      </w:pPr>
      <w:r w:rsidRPr="00950BDE">
        <w:t xml:space="preserve">Reception to Year 6 - </w:t>
      </w:r>
      <w:r w:rsidRPr="00B8336A">
        <w:rPr>
          <w:u w:val="single"/>
        </w:rPr>
        <w:t>£1, 320</w:t>
      </w:r>
    </w:p>
    <w:p w:rsidR="00FD0B1C" w:rsidRDefault="00FD0B1C" w:rsidP="00602B8C">
      <w:pPr>
        <w:shd w:val="clear" w:color="auto" w:fill="FFFFFF"/>
        <w:spacing w:after="300" w:line="240" w:lineRule="auto"/>
      </w:pPr>
      <w:r w:rsidRPr="00950BDE">
        <w:t xml:space="preserve">Year 7 to Year 11 - </w:t>
      </w:r>
      <w:r w:rsidRPr="00B8336A">
        <w:rPr>
          <w:u w:val="single"/>
        </w:rPr>
        <w:t>£935</w:t>
      </w:r>
      <w:r w:rsidR="00DD564A">
        <w:rPr>
          <w:u w:val="single"/>
        </w:rPr>
        <w:t xml:space="preserve"> </w:t>
      </w:r>
    </w:p>
    <w:p w:rsidR="00FD0B1C" w:rsidRDefault="00FD0B1C" w:rsidP="00602B8C">
      <w:pPr>
        <w:shd w:val="clear" w:color="auto" w:fill="FFFFFF"/>
        <w:spacing w:after="300" w:line="240" w:lineRule="auto"/>
      </w:pPr>
      <w:r>
        <w:t>Pupils that are looked after by the Local Authority</w:t>
      </w:r>
      <w:r w:rsidR="00B8336A">
        <w:t xml:space="preserve"> may have alternative pupil premium funding, which is accounted for separately. </w:t>
      </w:r>
      <w:r>
        <w:t xml:space="preserve"> </w:t>
      </w:r>
    </w:p>
    <w:p w:rsidR="00B8336A" w:rsidRDefault="00B8336A" w:rsidP="00602B8C">
      <w:pPr>
        <w:shd w:val="clear" w:color="auto" w:fill="FFFFFF"/>
        <w:spacing w:after="300" w:line="240" w:lineRule="auto"/>
      </w:pPr>
      <w:r>
        <w:t xml:space="preserve">Previously after by the Local Authority (within 6 years) - </w:t>
      </w:r>
      <w:r w:rsidR="00DD564A">
        <w:rPr>
          <w:u w:val="single"/>
        </w:rPr>
        <w:t>£2300</w:t>
      </w:r>
    </w:p>
    <w:p w:rsidR="00BF3740" w:rsidRDefault="00BF3740" w:rsidP="00602B8C">
      <w:pPr>
        <w:shd w:val="clear" w:color="auto" w:fill="FFFFFF"/>
        <w:spacing w:after="300" w:line="240" w:lineRule="auto"/>
      </w:pPr>
      <w:r>
        <w:t>Post 16 pu</w:t>
      </w:r>
      <w:r w:rsidR="00CA1098">
        <w:t xml:space="preserve">pils are not entitled to Pupil </w:t>
      </w:r>
      <w:r w:rsidR="00DD564A">
        <w:t>Premium funding.</w:t>
      </w:r>
    </w:p>
    <w:p w:rsidR="00BE5AE1" w:rsidRDefault="00BE5AE1" w:rsidP="00602B8C">
      <w:pPr>
        <w:shd w:val="clear" w:color="auto" w:fill="FFFFFF"/>
        <w:spacing w:after="300" w:line="240" w:lineRule="auto"/>
      </w:pPr>
      <w:r>
        <w:t xml:space="preserve">Service Children are allocated </w:t>
      </w:r>
      <w:r w:rsidR="00DD564A">
        <w:rPr>
          <w:u w:val="single"/>
        </w:rPr>
        <w:t xml:space="preserve">£300 per annum </w:t>
      </w:r>
    </w:p>
    <w:p w:rsidR="00DB43F0" w:rsidRDefault="004568E4" w:rsidP="00602B8C">
      <w:pPr>
        <w:shd w:val="clear" w:color="auto" w:fill="FFFFFF"/>
        <w:spacing w:after="300" w:line="240" w:lineRule="auto"/>
      </w:pPr>
      <w:r w:rsidRPr="004568E4">
        <w:t xml:space="preserve">New Siblands </w:t>
      </w:r>
      <w:r w:rsidR="00DB43F0" w:rsidRPr="004568E4">
        <w:t>will be targeting Commun</w:t>
      </w:r>
      <w:r w:rsidRPr="004568E4">
        <w:t>ication and Interaction with this funding.</w:t>
      </w:r>
    </w:p>
    <w:p w:rsidR="00DB43F0" w:rsidRDefault="00DB43F0" w:rsidP="00DB43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‘Communication is fundamental to children’s development; children need to be able to understand and be understood. Communication is the foundation of relationships and is essential for learning, play and social interaction. ‘</w:t>
      </w:r>
    </w:p>
    <w:p w:rsidR="00DB43F0" w:rsidRDefault="00DB43F0" w:rsidP="00DB43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i/>
          <w:iCs/>
          <w:color w:val="201F1E"/>
          <w:sz w:val="22"/>
          <w:szCs w:val="22"/>
        </w:rPr>
        <w:t>The Communication Trust</w:t>
      </w:r>
    </w:p>
    <w:p w:rsidR="00DB43F0" w:rsidRDefault="00DB43F0" w:rsidP="00DB43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DB43F0" w:rsidRDefault="00DB43F0" w:rsidP="00DB43F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The Com</w:t>
      </w:r>
      <w:r w:rsidR="00DD564A">
        <w:rPr>
          <w:rFonts w:ascii="Calibri" w:hAnsi="Calibri"/>
          <w:color w:val="201F1E"/>
          <w:sz w:val="22"/>
          <w:szCs w:val="22"/>
        </w:rPr>
        <w:t xml:space="preserve">munication &amp; Interaction strand </w:t>
      </w:r>
      <w:r>
        <w:rPr>
          <w:rFonts w:ascii="Calibri" w:hAnsi="Calibri"/>
          <w:color w:val="201F1E"/>
          <w:sz w:val="22"/>
          <w:szCs w:val="22"/>
        </w:rPr>
        <w:t xml:space="preserve">of the curriculum at New Siblands equips our learners with the skills they need to become adults who can express their needs, preferences and opinions; who feel confident </w:t>
      </w:r>
      <w:r w:rsidR="00DD564A">
        <w:rPr>
          <w:rFonts w:ascii="Calibri" w:hAnsi="Calibri"/>
          <w:color w:val="201F1E"/>
          <w:sz w:val="22"/>
          <w:szCs w:val="22"/>
        </w:rPr>
        <w:t>to use their voice and be heard;</w:t>
      </w:r>
      <w:r>
        <w:rPr>
          <w:rFonts w:ascii="Calibri" w:hAnsi="Calibri"/>
          <w:color w:val="201F1E"/>
          <w:sz w:val="22"/>
          <w:szCs w:val="22"/>
        </w:rPr>
        <w:t xml:space="preserve"> and who understand the social conventions of communication in different situations.</w:t>
      </w:r>
    </w:p>
    <w:p w:rsidR="004568E4" w:rsidRDefault="004568E4" w:rsidP="004568E4">
      <w:pPr>
        <w:pStyle w:val="xmsonormal"/>
        <w:shd w:val="clear" w:color="auto" w:fill="FFFFFF"/>
        <w:spacing w:before="0" w:beforeAutospacing="0" w:after="0" w:afterAutospacing="0"/>
      </w:pPr>
    </w:p>
    <w:p w:rsidR="0083356C" w:rsidRDefault="00BF0521" w:rsidP="00602B8C">
      <w:pPr>
        <w:shd w:val="clear" w:color="auto" w:fill="FFFFFF"/>
        <w:spacing w:after="300" w:line="240" w:lineRule="auto"/>
        <w:rPr>
          <w:b/>
        </w:rPr>
      </w:pPr>
      <w:r>
        <w:rPr>
          <w:b/>
        </w:rPr>
        <w:t>Aims</w:t>
      </w:r>
    </w:p>
    <w:p w:rsidR="0083356C" w:rsidRDefault="00454A11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>Pupil Premium Pupils will make similar rates of progress as non- pupil premium peers (i.e. Pupils in the same year group)</w:t>
      </w:r>
    </w:p>
    <w:p w:rsidR="0083356C" w:rsidRDefault="00454A11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 xml:space="preserve">Pupil premium funding will be used to enrich the core curriculum. </w:t>
      </w:r>
    </w:p>
    <w:p w:rsidR="00454A11" w:rsidRDefault="00454A11" w:rsidP="0083356C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</w:pPr>
      <w:r>
        <w:t xml:space="preserve">Interventions to support progress in the curriculum areas of communication </w:t>
      </w:r>
      <w:r w:rsidR="00FD0B1C">
        <w:t>and intera</w:t>
      </w:r>
      <w:r>
        <w:t xml:space="preserve">ction </w:t>
      </w:r>
      <w:r w:rsidR="00242F20">
        <w:t>will be the</w:t>
      </w:r>
      <w:r w:rsidR="00FD0B1C">
        <w:t xml:space="preserve"> </w:t>
      </w:r>
      <w:r w:rsidR="00242F20">
        <w:t>focus</w:t>
      </w:r>
      <w:r w:rsidR="00FD0B1C">
        <w:t xml:space="preserve"> of Pupil Premium spending. </w:t>
      </w:r>
      <w:r>
        <w:t xml:space="preserve"> </w:t>
      </w:r>
    </w:p>
    <w:p w:rsidR="0083356C" w:rsidRDefault="00FD0B1C" w:rsidP="00242F20">
      <w:pPr>
        <w:shd w:val="clear" w:color="auto" w:fill="FFFFFF"/>
        <w:spacing w:before="300" w:after="300" w:line="240" w:lineRule="auto"/>
      </w:pPr>
      <w:r>
        <w:t>Some of t</w:t>
      </w:r>
      <w:r w:rsidR="00242F20">
        <w:t>he above</w:t>
      </w:r>
      <w:r>
        <w:t xml:space="preserve"> will be provided through the oversight of a trained speech and language therapist </w:t>
      </w:r>
      <w:r w:rsidR="005600F8">
        <w:t>(</w:t>
      </w:r>
      <w:r w:rsidR="005600F8" w:rsidRPr="004568E4">
        <w:t>3 days per we</w:t>
      </w:r>
      <w:r w:rsidR="00DB43F0" w:rsidRPr="004568E4">
        <w:t xml:space="preserve">ek) and </w:t>
      </w:r>
      <w:r w:rsidR="00242F20">
        <w:t xml:space="preserve">targeted specific </w:t>
      </w:r>
      <w:r w:rsidR="00DB43F0" w:rsidRPr="004568E4">
        <w:t>resources.</w:t>
      </w:r>
      <w:r w:rsidR="00DB43F0">
        <w:t xml:space="preserve"> </w:t>
      </w:r>
    </w:p>
    <w:p w:rsidR="00DD564A" w:rsidRDefault="00DD564A" w:rsidP="00242F20">
      <w:pPr>
        <w:shd w:val="clear" w:color="auto" w:fill="FFFFFF"/>
        <w:spacing w:before="300" w:after="300" w:line="240" w:lineRule="auto"/>
      </w:pPr>
    </w:p>
    <w:p w:rsidR="00BF0521" w:rsidRDefault="00BF0521" w:rsidP="00BF0521">
      <w:pPr>
        <w:shd w:val="clear" w:color="auto" w:fill="FFFFFF"/>
        <w:spacing w:before="300" w:after="300" w:line="240" w:lineRule="auto"/>
        <w:rPr>
          <w:b/>
        </w:rPr>
      </w:pPr>
      <w:r>
        <w:rPr>
          <w:b/>
        </w:rPr>
        <w:lastRenderedPageBreak/>
        <w:t>Success Criteria</w:t>
      </w:r>
    </w:p>
    <w:p w:rsidR="00A70C0A" w:rsidRDefault="00FD0B1C" w:rsidP="00BF0521">
      <w:pPr>
        <w:pStyle w:val="ListParagraph"/>
        <w:numPr>
          <w:ilvl w:val="0"/>
          <w:numId w:val="3"/>
        </w:numPr>
        <w:shd w:val="clear" w:color="auto" w:fill="FFFFFF"/>
        <w:spacing w:before="300" w:after="300" w:line="240" w:lineRule="auto"/>
      </w:pPr>
      <w:r>
        <w:t>PP pupils make similar</w:t>
      </w:r>
      <w:r w:rsidR="00DB43F0">
        <w:t xml:space="preserve"> or better</w:t>
      </w:r>
      <w:r>
        <w:t xml:space="preserve"> rates of progress </w:t>
      </w:r>
      <w:r w:rsidR="00242F20">
        <w:t xml:space="preserve">in all </w:t>
      </w:r>
      <w:r>
        <w:t xml:space="preserve">areas of </w:t>
      </w:r>
      <w:r w:rsidR="004463C6">
        <w:t>Communication</w:t>
      </w:r>
      <w:r>
        <w:t xml:space="preserve"> and Int</w:t>
      </w:r>
      <w:r w:rsidR="00DB43F0">
        <w:t>eraction.</w:t>
      </w:r>
    </w:p>
    <w:p w:rsidR="00A70C0A" w:rsidRDefault="005600F8">
      <w:pPr>
        <w:rPr>
          <w:b/>
        </w:rPr>
      </w:pPr>
      <w:r>
        <w:rPr>
          <w:b/>
        </w:rPr>
        <w:t>Speech &amp; Language Therapist Time</w:t>
      </w:r>
    </w:p>
    <w:p w:rsidR="005600F8" w:rsidRDefault="005600F8"/>
    <w:p w:rsidR="005600F8" w:rsidRDefault="005600F8">
      <w:r>
        <w:rPr>
          <w:noProof/>
          <w:lang w:eastAsia="en-GB"/>
        </w:rPr>
        <w:drawing>
          <wp:inline distT="0" distB="0" distL="0" distR="0" wp14:anchorId="0EBF7E62" wp14:editId="63603B48">
            <wp:extent cx="5095875" cy="30194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0F8" w:rsidRDefault="005600F8"/>
    <w:p w:rsidR="00242F20" w:rsidRDefault="00242F20" w:rsidP="00242F20">
      <w:pPr>
        <w:rPr>
          <w:b/>
        </w:rPr>
      </w:pPr>
      <w:r>
        <w:rPr>
          <w:b/>
        </w:rPr>
        <w:t>Resource Spending</w:t>
      </w:r>
    </w:p>
    <w:p w:rsidR="00242F20" w:rsidRPr="00F560C6" w:rsidRDefault="00242F20">
      <w:r w:rsidRPr="00F560C6">
        <w:t>Resources need to be updated and refreshed in order to deliver a stimulating and motivating</w:t>
      </w:r>
      <w:r w:rsidR="00F560C6">
        <w:t xml:space="preserve"> differentiated</w:t>
      </w:r>
      <w:r w:rsidRPr="00F560C6">
        <w:t xml:space="preserve"> curriculum</w:t>
      </w:r>
      <w:r w:rsidR="00211904" w:rsidRPr="00F560C6">
        <w:t>. Updating resources help</w:t>
      </w:r>
      <w:r w:rsidRPr="00F560C6">
        <w:t xml:space="preserve"> pupils </w:t>
      </w:r>
      <w:r w:rsidR="00211904" w:rsidRPr="00F560C6">
        <w:t xml:space="preserve">to </w:t>
      </w:r>
      <w:r w:rsidRPr="00F560C6">
        <w:t xml:space="preserve">maintain engagement, commit </w:t>
      </w:r>
      <w:r w:rsidR="00211904" w:rsidRPr="00F560C6">
        <w:t>new</w:t>
      </w:r>
      <w:r w:rsidRPr="00F560C6">
        <w:t xml:space="preserve"> skills to </w:t>
      </w:r>
      <w:r w:rsidR="00F560C6" w:rsidRPr="00F560C6">
        <w:t>long-term</w:t>
      </w:r>
      <w:r w:rsidRPr="00F560C6">
        <w:t xml:space="preserve"> memory</w:t>
      </w:r>
      <w:r w:rsidR="00211904" w:rsidRPr="00F560C6">
        <w:t>, transfer learnt skills to a new activity</w:t>
      </w:r>
      <w:r w:rsidRPr="00F560C6">
        <w:t xml:space="preserve"> and access a heuristic curriculum. </w:t>
      </w:r>
    </w:p>
    <w:p w:rsidR="00F560C6" w:rsidRPr="00F560C6" w:rsidRDefault="00242F20">
      <w:r w:rsidRPr="00F560C6">
        <w:t xml:space="preserve">Resource spending </w:t>
      </w:r>
      <w:r w:rsidR="00211904" w:rsidRPr="00F560C6">
        <w:t>covers</w:t>
      </w:r>
      <w:r w:rsidR="00F560C6" w:rsidRPr="00F560C6">
        <w:t>;</w:t>
      </w:r>
    </w:p>
    <w:p w:rsidR="00F560C6" w:rsidRPr="00F560C6" w:rsidRDefault="00F560C6" w:rsidP="00F560C6">
      <w:pPr>
        <w:pStyle w:val="ListParagraph"/>
        <w:numPr>
          <w:ilvl w:val="0"/>
          <w:numId w:val="3"/>
        </w:numPr>
      </w:pPr>
      <w:r w:rsidRPr="00F560C6">
        <w:t>T</w:t>
      </w:r>
      <w:r w:rsidR="00211904" w:rsidRPr="00F560C6">
        <w:t>opic theme based differentiated curriculum classroom resources</w:t>
      </w:r>
    </w:p>
    <w:p w:rsidR="00F560C6" w:rsidRPr="00F560C6" w:rsidRDefault="00F560C6" w:rsidP="00F560C6">
      <w:pPr>
        <w:pStyle w:val="ListParagraph"/>
        <w:numPr>
          <w:ilvl w:val="0"/>
          <w:numId w:val="3"/>
        </w:numPr>
      </w:pPr>
      <w:r w:rsidRPr="00F560C6">
        <w:t>S</w:t>
      </w:r>
      <w:r w:rsidR="00211904" w:rsidRPr="00F560C6">
        <w:t xml:space="preserve">pecific class based interventions (e.g. Attention Autism, Talkabout, </w:t>
      </w:r>
      <w:r w:rsidRPr="00F560C6">
        <w:t>Lego Therapy etc)</w:t>
      </w:r>
    </w:p>
    <w:p w:rsidR="00F560C6" w:rsidRPr="00F560C6" w:rsidRDefault="00F560C6" w:rsidP="00F560C6">
      <w:pPr>
        <w:pStyle w:val="ListParagraph"/>
        <w:numPr>
          <w:ilvl w:val="0"/>
          <w:numId w:val="3"/>
        </w:numPr>
      </w:pPr>
      <w:r w:rsidRPr="00F560C6">
        <w:t xml:space="preserve">Resources </w:t>
      </w:r>
      <w:r w:rsidR="00211904" w:rsidRPr="00F560C6">
        <w:t>that allow the ap</w:t>
      </w:r>
      <w:r w:rsidR="00DD564A">
        <w:t>plication of Communication and I</w:t>
      </w:r>
      <w:r w:rsidR="00211904" w:rsidRPr="00F560C6">
        <w:t>nteraction skills in the learning environment (</w:t>
      </w:r>
      <w:proofErr w:type="spellStart"/>
      <w:r w:rsidR="00211904" w:rsidRPr="00F560C6">
        <w:t>e.g</w:t>
      </w:r>
      <w:proofErr w:type="spellEnd"/>
      <w:r w:rsidR="00211904" w:rsidRPr="00F560C6">
        <w:t xml:space="preserve"> play based resources and outdoor learning etc)</w:t>
      </w:r>
    </w:p>
    <w:p w:rsidR="00F560C6" w:rsidRPr="00F560C6" w:rsidRDefault="00F560C6" w:rsidP="00F560C6">
      <w:pPr>
        <w:pStyle w:val="ListParagraph"/>
        <w:numPr>
          <w:ilvl w:val="0"/>
          <w:numId w:val="3"/>
        </w:numPr>
      </w:pPr>
      <w:r w:rsidRPr="00F560C6">
        <w:t>S</w:t>
      </w:r>
      <w:r w:rsidR="00211904" w:rsidRPr="00F560C6">
        <w:t>pecific concrete resources to meet individual needs through a personalised pedagogical approach</w:t>
      </w:r>
    </w:p>
    <w:p w:rsidR="009E4FF2" w:rsidRDefault="00F560C6" w:rsidP="00F560C6">
      <w:pPr>
        <w:pStyle w:val="ListParagraph"/>
        <w:numPr>
          <w:ilvl w:val="0"/>
          <w:numId w:val="3"/>
        </w:numPr>
      </w:pPr>
      <w:r w:rsidRPr="00F560C6">
        <w:t>R</w:t>
      </w:r>
      <w:r w:rsidR="00211904" w:rsidRPr="00F560C6">
        <w:t>esources that support the Speech and Language Therapists interventions being delivered</w:t>
      </w:r>
      <w:r>
        <w:t xml:space="preserve"> in class by school trained adults</w:t>
      </w:r>
    </w:p>
    <w:p w:rsidR="007561F8" w:rsidRDefault="007561F8" w:rsidP="00F560C6">
      <w:pPr>
        <w:pStyle w:val="ListParagraph"/>
        <w:numPr>
          <w:ilvl w:val="0"/>
          <w:numId w:val="3"/>
        </w:numPr>
      </w:pPr>
      <w:r>
        <w:t>Paying staff to stay on for training sessions and resourcing them – PECs and Communication Books, Intensive Interaction, Objects of Refe</w:t>
      </w:r>
      <w:r w:rsidR="00DD564A">
        <w:t>rence, Attention Autism</w:t>
      </w:r>
    </w:p>
    <w:p w:rsidR="00212E32" w:rsidRPr="00F560C6" w:rsidRDefault="00212E32">
      <w:pPr>
        <w:rPr>
          <w:b/>
        </w:rPr>
      </w:pPr>
      <w:r w:rsidRPr="00F560C6">
        <w:rPr>
          <w:b/>
        </w:rPr>
        <w:br w:type="page"/>
      </w:r>
    </w:p>
    <w:p w:rsidR="00212E32" w:rsidRDefault="00212E32" w:rsidP="00212E32">
      <w:pPr>
        <w:shd w:val="clear" w:color="auto" w:fill="FFFFFF"/>
        <w:spacing w:before="300" w:after="300" w:line="240" w:lineRule="auto"/>
        <w:rPr>
          <w:b/>
        </w:rPr>
      </w:pPr>
      <w:r w:rsidRPr="00D60456">
        <w:rPr>
          <w:b/>
        </w:rPr>
        <w:lastRenderedPageBreak/>
        <w:t>Impact</w:t>
      </w:r>
    </w:p>
    <w:p w:rsidR="007561F8" w:rsidRDefault="007561F8" w:rsidP="007561F8">
      <w:r>
        <w:t xml:space="preserve">Please note that progress was effected as school shut in March 2020 following a new assessment system being introduced in January 2020. </w:t>
      </w:r>
      <w:r>
        <w:rPr>
          <w:b/>
          <w:u w:val="single"/>
        </w:rPr>
        <w:t>So the progress is measured on 3 months of data.</w:t>
      </w:r>
      <w:r>
        <w:t xml:space="preserve"> </w:t>
      </w:r>
    </w:p>
    <w:p w:rsidR="00212E32" w:rsidRDefault="007561F8" w:rsidP="007561F8">
      <w:pPr>
        <w:shd w:val="clear" w:color="auto" w:fill="FFFFFF"/>
        <w:spacing w:before="300" w:after="300" w:line="240" w:lineRule="auto"/>
      </w:pPr>
      <w:r>
        <w:t xml:space="preserve">Data for </w:t>
      </w:r>
      <w:r w:rsidRPr="007561F8">
        <w:rPr>
          <w:b/>
        </w:rPr>
        <w:t>3</w:t>
      </w:r>
      <w:r w:rsidR="00DD564A">
        <w:rPr>
          <w:b/>
        </w:rPr>
        <w:t>4</w:t>
      </w:r>
      <w:r w:rsidR="00212E32" w:rsidRPr="00C31CD5">
        <w:t xml:space="preserve"> learners who were Pupil Premium</w:t>
      </w:r>
      <w:r w:rsidR="00DD564A">
        <w:t xml:space="preserve"> </w:t>
      </w:r>
      <w:r w:rsidR="00212E32" w:rsidRPr="00C31CD5">
        <w:t>for the</w:t>
      </w:r>
      <w:r w:rsidR="001A56B2">
        <w:t xml:space="preserve"> whole of the academic year 2019-20.</w:t>
      </w:r>
      <w:r w:rsidR="00212E32" w:rsidRPr="00C31CD5">
        <w:t xml:space="preserve"> </w:t>
      </w:r>
    </w:p>
    <w:p w:rsidR="00DD564A" w:rsidRPr="00DD564A" w:rsidRDefault="00DD564A" w:rsidP="007561F8">
      <w:pPr>
        <w:shd w:val="clear" w:color="auto" w:fill="FFFFFF"/>
        <w:spacing w:before="300" w:after="300" w:line="240" w:lineRule="auto"/>
        <w:rPr>
          <w:b/>
        </w:rPr>
      </w:pPr>
      <w:r>
        <w:rPr>
          <w:b/>
        </w:rPr>
        <w:t>Belonging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988"/>
        <w:gridCol w:w="1295"/>
        <w:gridCol w:w="1186"/>
        <w:gridCol w:w="1121"/>
        <w:gridCol w:w="1060"/>
      </w:tblGrid>
      <w:tr w:rsidR="00016ECE" w:rsidTr="00872435">
        <w:tc>
          <w:tcPr>
            <w:tcW w:w="1988" w:type="dxa"/>
            <w:vMerge w:val="restart"/>
          </w:tcPr>
          <w:p w:rsidR="00016ECE" w:rsidRDefault="00016ECE" w:rsidP="00016ECE">
            <w:r>
              <w:t>Communication &amp; Interaction</w:t>
            </w:r>
          </w:p>
          <w:p w:rsidR="00016ECE" w:rsidRDefault="00016ECE" w:rsidP="00872435"/>
        </w:tc>
        <w:tc>
          <w:tcPr>
            <w:tcW w:w="2481" w:type="dxa"/>
            <w:gridSpan w:val="2"/>
          </w:tcPr>
          <w:p w:rsidR="00016ECE" w:rsidRDefault="00016ECE" w:rsidP="00872435">
            <w:r>
              <w:t xml:space="preserve">PP Pupils Belonging Pathway </w:t>
            </w:r>
          </w:p>
          <w:p w:rsidR="00016ECE" w:rsidRDefault="00016ECE" w:rsidP="00872435">
            <w:r>
              <w:t>Total learners 6</w:t>
            </w:r>
          </w:p>
        </w:tc>
        <w:tc>
          <w:tcPr>
            <w:tcW w:w="2181" w:type="dxa"/>
            <w:gridSpan w:val="2"/>
          </w:tcPr>
          <w:p w:rsidR="00016ECE" w:rsidRDefault="00016ECE" w:rsidP="00016ECE">
            <w:r>
              <w:t xml:space="preserve">Non-PP Pupils Belonging Pathway </w:t>
            </w:r>
          </w:p>
          <w:p w:rsidR="00016ECE" w:rsidRDefault="00016ECE" w:rsidP="00016ECE">
            <w:r>
              <w:t xml:space="preserve">Total learners </w:t>
            </w:r>
            <w:r w:rsidR="00B736C1">
              <w:t>15</w:t>
            </w:r>
          </w:p>
        </w:tc>
      </w:tr>
      <w:tr w:rsidR="00016ECE" w:rsidTr="00872435">
        <w:tc>
          <w:tcPr>
            <w:tcW w:w="1988" w:type="dxa"/>
            <w:vMerge/>
          </w:tcPr>
          <w:p w:rsidR="00016ECE" w:rsidRDefault="00016ECE" w:rsidP="00872435"/>
        </w:tc>
        <w:tc>
          <w:tcPr>
            <w:tcW w:w="1295" w:type="dxa"/>
          </w:tcPr>
          <w:p w:rsidR="00016ECE" w:rsidRDefault="00016ECE" w:rsidP="00872435">
            <w:r>
              <w:t>Number</w:t>
            </w:r>
          </w:p>
        </w:tc>
        <w:tc>
          <w:tcPr>
            <w:tcW w:w="1186" w:type="dxa"/>
          </w:tcPr>
          <w:p w:rsidR="00016ECE" w:rsidRDefault="00016ECE" w:rsidP="00872435">
            <w:r>
              <w:t>%</w:t>
            </w:r>
          </w:p>
        </w:tc>
        <w:tc>
          <w:tcPr>
            <w:tcW w:w="1121" w:type="dxa"/>
          </w:tcPr>
          <w:p w:rsidR="00016ECE" w:rsidRDefault="00016ECE" w:rsidP="00872435">
            <w:r>
              <w:t>Number</w:t>
            </w:r>
          </w:p>
        </w:tc>
        <w:tc>
          <w:tcPr>
            <w:tcW w:w="1060" w:type="dxa"/>
          </w:tcPr>
          <w:p w:rsidR="00016ECE" w:rsidRDefault="00016ECE" w:rsidP="00872435">
            <w:r>
              <w:t>%</w:t>
            </w:r>
          </w:p>
        </w:tc>
      </w:tr>
      <w:tr w:rsidR="00B736C1" w:rsidTr="00872435">
        <w:tc>
          <w:tcPr>
            <w:tcW w:w="1988" w:type="dxa"/>
            <w:shd w:val="clear" w:color="auto" w:fill="00B0F0"/>
          </w:tcPr>
          <w:p w:rsidR="00B736C1" w:rsidRDefault="00B736C1" w:rsidP="00B736C1">
            <w:r>
              <w:t>Maintaining</w:t>
            </w:r>
          </w:p>
        </w:tc>
        <w:tc>
          <w:tcPr>
            <w:tcW w:w="1295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186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121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060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</w:tr>
      <w:tr w:rsidR="00016ECE" w:rsidTr="00872435">
        <w:tc>
          <w:tcPr>
            <w:tcW w:w="1988" w:type="dxa"/>
            <w:shd w:val="clear" w:color="auto" w:fill="FFC000"/>
          </w:tcPr>
          <w:p w:rsidR="00016ECE" w:rsidRDefault="00016ECE" w:rsidP="00872435">
            <w:r>
              <w:t>Emerging</w:t>
            </w:r>
          </w:p>
        </w:tc>
        <w:tc>
          <w:tcPr>
            <w:tcW w:w="1295" w:type="dxa"/>
            <w:shd w:val="clear" w:color="auto" w:fill="FFC000"/>
          </w:tcPr>
          <w:p w:rsidR="00016ECE" w:rsidRDefault="00016ECE" w:rsidP="00872435">
            <w:r>
              <w:t>4</w:t>
            </w:r>
          </w:p>
        </w:tc>
        <w:tc>
          <w:tcPr>
            <w:tcW w:w="1186" w:type="dxa"/>
            <w:shd w:val="clear" w:color="auto" w:fill="FFC000"/>
          </w:tcPr>
          <w:p w:rsidR="00016ECE" w:rsidRDefault="00016ECE" w:rsidP="00872435">
            <w:r>
              <w:t>67%</w:t>
            </w:r>
          </w:p>
        </w:tc>
        <w:tc>
          <w:tcPr>
            <w:tcW w:w="1121" w:type="dxa"/>
            <w:shd w:val="clear" w:color="auto" w:fill="FFC000"/>
          </w:tcPr>
          <w:p w:rsidR="00016ECE" w:rsidRDefault="00B736C1" w:rsidP="00872435">
            <w:r>
              <w:t>5</w:t>
            </w:r>
          </w:p>
        </w:tc>
        <w:tc>
          <w:tcPr>
            <w:tcW w:w="1060" w:type="dxa"/>
            <w:shd w:val="clear" w:color="auto" w:fill="FFC000"/>
          </w:tcPr>
          <w:p w:rsidR="00016ECE" w:rsidRDefault="00B736C1" w:rsidP="00872435">
            <w:r>
              <w:t>33</w:t>
            </w:r>
          </w:p>
        </w:tc>
      </w:tr>
      <w:tr w:rsidR="00016ECE" w:rsidTr="00872435">
        <w:tc>
          <w:tcPr>
            <w:tcW w:w="1988" w:type="dxa"/>
            <w:shd w:val="clear" w:color="auto" w:fill="00B050"/>
          </w:tcPr>
          <w:p w:rsidR="00016ECE" w:rsidRDefault="00016ECE" w:rsidP="00872435">
            <w:r>
              <w:t>Expected</w:t>
            </w:r>
          </w:p>
        </w:tc>
        <w:tc>
          <w:tcPr>
            <w:tcW w:w="1295" w:type="dxa"/>
            <w:shd w:val="clear" w:color="auto" w:fill="00B050"/>
          </w:tcPr>
          <w:p w:rsidR="00016ECE" w:rsidRDefault="00016ECE" w:rsidP="00872435">
            <w:pPr>
              <w:tabs>
                <w:tab w:val="left" w:pos="837"/>
              </w:tabs>
            </w:pPr>
            <w:r>
              <w:t>2</w:t>
            </w:r>
          </w:p>
        </w:tc>
        <w:tc>
          <w:tcPr>
            <w:tcW w:w="1186" w:type="dxa"/>
            <w:shd w:val="clear" w:color="auto" w:fill="00B050"/>
          </w:tcPr>
          <w:p w:rsidR="00016ECE" w:rsidRDefault="00016ECE" w:rsidP="00872435">
            <w:r>
              <w:t>33%</w:t>
            </w:r>
          </w:p>
        </w:tc>
        <w:tc>
          <w:tcPr>
            <w:tcW w:w="1121" w:type="dxa"/>
            <w:shd w:val="clear" w:color="auto" w:fill="00B050"/>
          </w:tcPr>
          <w:p w:rsidR="00016ECE" w:rsidRDefault="00B736C1" w:rsidP="00872435">
            <w:r>
              <w:t>6</w:t>
            </w:r>
          </w:p>
        </w:tc>
        <w:tc>
          <w:tcPr>
            <w:tcW w:w="1060" w:type="dxa"/>
            <w:shd w:val="clear" w:color="auto" w:fill="00B050"/>
          </w:tcPr>
          <w:p w:rsidR="00016ECE" w:rsidRDefault="00B736C1" w:rsidP="00872435">
            <w:r>
              <w:t>40</w:t>
            </w:r>
          </w:p>
        </w:tc>
      </w:tr>
      <w:tr w:rsidR="00016ECE" w:rsidTr="00872435">
        <w:tc>
          <w:tcPr>
            <w:tcW w:w="1988" w:type="dxa"/>
            <w:shd w:val="clear" w:color="auto" w:fill="7030A0"/>
          </w:tcPr>
          <w:p w:rsidR="00016ECE" w:rsidRDefault="00016ECE" w:rsidP="00872435">
            <w:r>
              <w:t>Exceeding</w:t>
            </w:r>
          </w:p>
        </w:tc>
        <w:tc>
          <w:tcPr>
            <w:tcW w:w="1295" w:type="dxa"/>
            <w:shd w:val="clear" w:color="auto" w:fill="7030A0"/>
          </w:tcPr>
          <w:p w:rsidR="00016ECE" w:rsidRDefault="00016ECE" w:rsidP="00872435">
            <w:r>
              <w:t>0</w:t>
            </w:r>
          </w:p>
        </w:tc>
        <w:tc>
          <w:tcPr>
            <w:tcW w:w="1186" w:type="dxa"/>
            <w:shd w:val="clear" w:color="auto" w:fill="7030A0"/>
          </w:tcPr>
          <w:p w:rsidR="00016ECE" w:rsidRDefault="00016ECE" w:rsidP="00872435">
            <w:r>
              <w:t>0</w:t>
            </w:r>
          </w:p>
        </w:tc>
        <w:tc>
          <w:tcPr>
            <w:tcW w:w="1121" w:type="dxa"/>
            <w:shd w:val="clear" w:color="auto" w:fill="7030A0"/>
          </w:tcPr>
          <w:p w:rsidR="00016ECE" w:rsidRDefault="00B736C1" w:rsidP="00872435">
            <w:r>
              <w:t>4</w:t>
            </w:r>
          </w:p>
        </w:tc>
        <w:tc>
          <w:tcPr>
            <w:tcW w:w="1060" w:type="dxa"/>
            <w:shd w:val="clear" w:color="auto" w:fill="7030A0"/>
          </w:tcPr>
          <w:p w:rsidR="00016ECE" w:rsidRDefault="00B736C1" w:rsidP="00872435">
            <w:r>
              <w:t>27</w:t>
            </w:r>
          </w:p>
        </w:tc>
      </w:tr>
    </w:tbl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7561F8" w:rsidRDefault="007561F8" w:rsidP="00212E32">
      <w:pPr>
        <w:rPr>
          <w:b/>
        </w:rPr>
      </w:pPr>
    </w:p>
    <w:p w:rsidR="007561F8" w:rsidRDefault="007561F8" w:rsidP="00212E32">
      <w:pPr>
        <w:rPr>
          <w:b/>
        </w:rPr>
      </w:pPr>
    </w:p>
    <w:p w:rsidR="00DD564A" w:rsidRDefault="00DD564A" w:rsidP="00212E32">
      <w:pPr>
        <w:rPr>
          <w:b/>
        </w:rPr>
      </w:pPr>
      <w:r>
        <w:rPr>
          <w:b/>
        </w:rPr>
        <w:t>Achievement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988"/>
        <w:gridCol w:w="1295"/>
        <w:gridCol w:w="1186"/>
        <w:gridCol w:w="1121"/>
        <w:gridCol w:w="1068"/>
      </w:tblGrid>
      <w:tr w:rsidR="00016ECE" w:rsidTr="00016ECE">
        <w:tc>
          <w:tcPr>
            <w:tcW w:w="1988" w:type="dxa"/>
            <w:vMerge w:val="restart"/>
          </w:tcPr>
          <w:p w:rsidR="00016ECE" w:rsidRDefault="00016ECE" w:rsidP="00872435">
            <w:r>
              <w:t>Communication &amp; Interaction</w:t>
            </w:r>
          </w:p>
          <w:p w:rsidR="00016ECE" w:rsidRDefault="00016ECE" w:rsidP="00872435"/>
        </w:tc>
        <w:tc>
          <w:tcPr>
            <w:tcW w:w="2481" w:type="dxa"/>
            <w:gridSpan w:val="2"/>
          </w:tcPr>
          <w:p w:rsidR="00016ECE" w:rsidRDefault="00016ECE" w:rsidP="00872435">
            <w:r>
              <w:t xml:space="preserve">PP Pupils Achievement Pathway </w:t>
            </w:r>
          </w:p>
          <w:p w:rsidR="00016ECE" w:rsidRDefault="00DD564A" w:rsidP="00872435">
            <w:r>
              <w:t>Total learners 25</w:t>
            </w:r>
          </w:p>
        </w:tc>
        <w:tc>
          <w:tcPr>
            <w:tcW w:w="2189" w:type="dxa"/>
            <w:gridSpan w:val="2"/>
          </w:tcPr>
          <w:p w:rsidR="00016ECE" w:rsidRDefault="00016ECE" w:rsidP="00872435">
            <w:r>
              <w:t xml:space="preserve">Non-PP Pupils Achievement Pathway </w:t>
            </w:r>
          </w:p>
          <w:p w:rsidR="00016ECE" w:rsidRDefault="00016ECE" w:rsidP="00872435">
            <w:r>
              <w:t xml:space="preserve">Total learners </w:t>
            </w:r>
            <w:r w:rsidR="00B736C1">
              <w:t>54</w:t>
            </w:r>
          </w:p>
        </w:tc>
      </w:tr>
      <w:tr w:rsidR="00016ECE" w:rsidTr="00016ECE">
        <w:tc>
          <w:tcPr>
            <w:tcW w:w="1988" w:type="dxa"/>
            <w:vMerge/>
          </w:tcPr>
          <w:p w:rsidR="00016ECE" w:rsidRDefault="00016ECE" w:rsidP="00872435"/>
        </w:tc>
        <w:tc>
          <w:tcPr>
            <w:tcW w:w="1295" w:type="dxa"/>
          </w:tcPr>
          <w:p w:rsidR="00016ECE" w:rsidRDefault="00016ECE" w:rsidP="00872435">
            <w:r>
              <w:t>Number</w:t>
            </w:r>
          </w:p>
        </w:tc>
        <w:tc>
          <w:tcPr>
            <w:tcW w:w="1186" w:type="dxa"/>
          </w:tcPr>
          <w:p w:rsidR="00016ECE" w:rsidRDefault="00016ECE" w:rsidP="00872435">
            <w:r>
              <w:t>%</w:t>
            </w:r>
          </w:p>
        </w:tc>
        <w:tc>
          <w:tcPr>
            <w:tcW w:w="1121" w:type="dxa"/>
          </w:tcPr>
          <w:p w:rsidR="00016ECE" w:rsidRDefault="00016ECE" w:rsidP="00872435">
            <w:r>
              <w:t>Number</w:t>
            </w:r>
          </w:p>
        </w:tc>
        <w:tc>
          <w:tcPr>
            <w:tcW w:w="1068" w:type="dxa"/>
          </w:tcPr>
          <w:p w:rsidR="00016ECE" w:rsidRDefault="00016ECE" w:rsidP="00872435">
            <w:r>
              <w:t>%</w:t>
            </w:r>
          </w:p>
        </w:tc>
      </w:tr>
      <w:tr w:rsidR="00B736C1" w:rsidTr="00016ECE">
        <w:tc>
          <w:tcPr>
            <w:tcW w:w="1988" w:type="dxa"/>
            <w:shd w:val="clear" w:color="auto" w:fill="00B0F0"/>
          </w:tcPr>
          <w:p w:rsidR="00B736C1" w:rsidRDefault="00B736C1" w:rsidP="00B736C1">
            <w:r>
              <w:t>Maintaining</w:t>
            </w:r>
          </w:p>
        </w:tc>
        <w:tc>
          <w:tcPr>
            <w:tcW w:w="1295" w:type="dxa"/>
            <w:shd w:val="clear" w:color="auto" w:fill="00B0F0"/>
          </w:tcPr>
          <w:p w:rsidR="00B736C1" w:rsidRDefault="00DD564A" w:rsidP="00B736C1">
            <w:r>
              <w:t>0</w:t>
            </w:r>
          </w:p>
        </w:tc>
        <w:tc>
          <w:tcPr>
            <w:tcW w:w="1186" w:type="dxa"/>
            <w:shd w:val="clear" w:color="auto" w:fill="00B0F0"/>
          </w:tcPr>
          <w:p w:rsidR="00B736C1" w:rsidRDefault="00DD564A" w:rsidP="00B736C1">
            <w:r>
              <w:t>0</w:t>
            </w:r>
          </w:p>
        </w:tc>
        <w:tc>
          <w:tcPr>
            <w:tcW w:w="1121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068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</w:tr>
      <w:tr w:rsidR="00016ECE" w:rsidTr="00016ECE">
        <w:tc>
          <w:tcPr>
            <w:tcW w:w="1988" w:type="dxa"/>
            <w:shd w:val="clear" w:color="auto" w:fill="FFC000"/>
          </w:tcPr>
          <w:p w:rsidR="00016ECE" w:rsidRDefault="00016ECE" w:rsidP="00872435">
            <w:r>
              <w:t>Emerging</w:t>
            </w:r>
          </w:p>
        </w:tc>
        <w:tc>
          <w:tcPr>
            <w:tcW w:w="1295" w:type="dxa"/>
            <w:shd w:val="clear" w:color="auto" w:fill="FFC000"/>
          </w:tcPr>
          <w:p w:rsidR="00016ECE" w:rsidRDefault="00016ECE" w:rsidP="00872435">
            <w:r>
              <w:t>5</w:t>
            </w:r>
          </w:p>
        </w:tc>
        <w:tc>
          <w:tcPr>
            <w:tcW w:w="1186" w:type="dxa"/>
            <w:shd w:val="clear" w:color="auto" w:fill="FFC000"/>
          </w:tcPr>
          <w:p w:rsidR="00016ECE" w:rsidRDefault="00016ECE" w:rsidP="00872435">
            <w:r>
              <w:t>19</w:t>
            </w:r>
          </w:p>
        </w:tc>
        <w:tc>
          <w:tcPr>
            <w:tcW w:w="1121" w:type="dxa"/>
            <w:shd w:val="clear" w:color="auto" w:fill="FFC000"/>
          </w:tcPr>
          <w:p w:rsidR="00016ECE" w:rsidRDefault="00B736C1" w:rsidP="00872435">
            <w:r>
              <w:t>9</w:t>
            </w:r>
          </w:p>
        </w:tc>
        <w:tc>
          <w:tcPr>
            <w:tcW w:w="1068" w:type="dxa"/>
            <w:shd w:val="clear" w:color="auto" w:fill="FFC000"/>
          </w:tcPr>
          <w:p w:rsidR="00016ECE" w:rsidRDefault="00B736C1" w:rsidP="00872435">
            <w:r>
              <w:t>16</w:t>
            </w:r>
          </w:p>
        </w:tc>
      </w:tr>
      <w:tr w:rsidR="00016ECE" w:rsidTr="00016ECE">
        <w:tc>
          <w:tcPr>
            <w:tcW w:w="1988" w:type="dxa"/>
            <w:shd w:val="clear" w:color="auto" w:fill="00B050"/>
          </w:tcPr>
          <w:p w:rsidR="00016ECE" w:rsidRDefault="00016ECE" w:rsidP="00872435">
            <w:r>
              <w:t>Expected</w:t>
            </w:r>
          </w:p>
        </w:tc>
        <w:tc>
          <w:tcPr>
            <w:tcW w:w="1295" w:type="dxa"/>
            <w:shd w:val="clear" w:color="auto" w:fill="00B050"/>
          </w:tcPr>
          <w:p w:rsidR="00016ECE" w:rsidRDefault="00016ECE" w:rsidP="00872435">
            <w:pPr>
              <w:tabs>
                <w:tab w:val="left" w:pos="837"/>
              </w:tabs>
            </w:pPr>
            <w:r>
              <w:t>7</w:t>
            </w:r>
          </w:p>
        </w:tc>
        <w:tc>
          <w:tcPr>
            <w:tcW w:w="1186" w:type="dxa"/>
            <w:shd w:val="clear" w:color="auto" w:fill="00B050"/>
          </w:tcPr>
          <w:p w:rsidR="00016ECE" w:rsidRDefault="00016ECE" w:rsidP="00872435">
            <w:r>
              <w:t>27</w:t>
            </w:r>
          </w:p>
        </w:tc>
        <w:tc>
          <w:tcPr>
            <w:tcW w:w="1121" w:type="dxa"/>
            <w:shd w:val="clear" w:color="auto" w:fill="00B050"/>
          </w:tcPr>
          <w:p w:rsidR="00016ECE" w:rsidRDefault="00B736C1" w:rsidP="00872435">
            <w:r>
              <w:t>21</w:t>
            </w:r>
          </w:p>
        </w:tc>
        <w:tc>
          <w:tcPr>
            <w:tcW w:w="1068" w:type="dxa"/>
            <w:shd w:val="clear" w:color="auto" w:fill="00B050"/>
          </w:tcPr>
          <w:p w:rsidR="00016ECE" w:rsidRDefault="00B736C1" w:rsidP="00872435">
            <w:r>
              <w:t>40</w:t>
            </w:r>
          </w:p>
        </w:tc>
      </w:tr>
      <w:tr w:rsidR="00016ECE" w:rsidTr="00016ECE">
        <w:tc>
          <w:tcPr>
            <w:tcW w:w="1988" w:type="dxa"/>
            <w:shd w:val="clear" w:color="auto" w:fill="7030A0"/>
          </w:tcPr>
          <w:p w:rsidR="00016ECE" w:rsidRDefault="00016ECE" w:rsidP="00872435">
            <w:r>
              <w:t>Exceeding</w:t>
            </w:r>
          </w:p>
        </w:tc>
        <w:tc>
          <w:tcPr>
            <w:tcW w:w="1295" w:type="dxa"/>
            <w:shd w:val="clear" w:color="auto" w:fill="7030A0"/>
          </w:tcPr>
          <w:p w:rsidR="00016ECE" w:rsidRDefault="00016ECE" w:rsidP="00872435">
            <w:r>
              <w:t>13</w:t>
            </w:r>
          </w:p>
        </w:tc>
        <w:tc>
          <w:tcPr>
            <w:tcW w:w="1186" w:type="dxa"/>
            <w:shd w:val="clear" w:color="auto" w:fill="7030A0"/>
          </w:tcPr>
          <w:p w:rsidR="00016ECE" w:rsidRDefault="00016ECE" w:rsidP="00872435">
            <w:r>
              <w:t>50</w:t>
            </w:r>
          </w:p>
        </w:tc>
        <w:tc>
          <w:tcPr>
            <w:tcW w:w="1121" w:type="dxa"/>
            <w:shd w:val="clear" w:color="auto" w:fill="7030A0"/>
          </w:tcPr>
          <w:p w:rsidR="00016ECE" w:rsidRDefault="00B736C1" w:rsidP="00872435">
            <w:r>
              <w:t>24</w:t>
            </w:r>
          </w:p>
        </w:tc>
        <w:tc>
          <w:tcPr>
            <w:tcW w:w="1068" w:type="dxa"/>
            <w:shd w:val="clear" w:color="auto" w:fill="7030A0"/>
          </w:tcPr>
          <w:p w:rsidR="00016ECE" w:rsidRDefault="00B736C1" w:rsidP="00872435">
            <w:r>
              <w:t>44</w:t>
            </w:r>
          </w:p>
        </w:tc>
      </w:tr>
    </w:tbl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7561F8" w:rsidRDefault="007561F8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DD564A" w:rsidRDefault="00DD564A" w:rsidP="00212E32">
      <w:pPr>
        <w:rPr>
          <w:b/>
        </w:rPr>
      </w:pPr>
    </w:p>
    <w:p w:rsidR="00DD564A" w:rsidRDefault="00DD564A" w:rsidP="00212E32">
      <w:pPr>
        <w:rPr>
          <w:b/>
        </w:rPr>
      </w:pPr>
      <w:r>
        <w:rPr>
          <w:b/>
        </w:rPr>
        <w:t xml:space="preserve">Celebration 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988"/>
        <w:gridCol w:w="1295"/>
        <w:gridCol w:w="1186"/>
        <w:gridCol w:w="1121"/>
        <w:gridCol w:w="1060"/>
      </w:tblGrid>
      <w:tr w:rsidR="00016ECE" w:rsidTr="00872435">
        <w:tc>
          <w:tcPr>
            <w:tcW w:w="1988" w:type="dxa"/>
            <w:vMerge w:val="restart"/>
          </w:tcPr>
          <w:p w:rsidR="00016ECE" w:rsidRDefault="00016ECE" w:rsidP="00872435">
            <w:r>
              <w:t>Communication &amp; Interaction</w:t>
            </w:r>
          </w:p>
          <w:p w:rsidR="00016ECE" w:rsidRDefault="00016ECE" w:rsidP="00872435"/>
        </w:tc>
        <w:tc>
          <w:tcPr>
            <w:tcW w:w="2481" w:type="dxa"/>
            <w:gridSpan w:val="2"/>
          </w:tcPr>
          <w:p w:rsidR="00016ECE" w:rsidRDefault="00016ECE" w:rsidP="00872435">
            <w:r>
              <w:t xml:space="preserve">PP Pupils Celebration Pathway </w:t>
            </w:r>
          </w:p>
          <w:p w:rsidR="00016ECE" w:rsidRDefault="00016ECE" w:rsidP="00872435">
            <w:r>
              <w:t>Total learners 3</w:t>
            </w:r>
          </w:p>
        </w:tc>
        <w:tc>
          <w:tcPr>
            <w:tcW w:w="2181" w:type="dxa"/>
            <w:gridSpan w:val="2"/>
          </w:tcPr>
          <w:p w:rsidR="00016ECE" w:rsidRDefault="00016ECE" w:rsidP="00872435">
            <w:r>
              <w:t xml:space="preserve">Non-PP Pupils Celebration Pathway </w:t>
            </w:r>
          </w:p>
          <w:p w:rsidR="00016ECE" w:rsidRDefault="00B736C1" w:rsidP="00872435">
            <w:r>
              <w:t>Total learners 3</w:t>
            </w:r>
          </w:p>
        </w:tc>
      </w:tr>
      <w:tr w:rsidR="00016ECE" w:rsidTr="00872435">
        <w:tc>
          <w:tcPr>
            <w:tcW w:w="1988" w:type="dxa"/>
            <w:vMerge/>
          </w:tcPr>
          <w:p w:rsidR="00016ECE" w:rsidRDefault="00016ECE" w:rsidP="00872435"/>
        </w:tc>
        <w:tc>
          <w:tcPr>
            <w:tcW w:w="1295" w:type="dxa"/>
          </w:tcPr>
          <w:p w:rsidR="00016ECE" w:rsidRDefault="00016ECE" w:rsidP="00872435">
            <w:r>
              <w:t>Number</w:t>
            </w:r>
          </w:p>
        </w:tc>
        <w:tc>
          <w:tcPr>
            <w:tcW w:w="1186" w:type="dxa"/>
          </w:tcPr>
          <w:p w:rsidR="00016ECE" w:rsidRDefault="00016ECE" w:rsidP="00872435">
            <w:r>
              <w:t>%</w:t>
            </w:r>
          </w:p>
        </w:tc>
        <w:tc>
          <w:tcPr>
            <w:tcW w:w="1121" w:type="dxa"/>
          </w:tcPr>
          <w:p w:rsidR="00016ECE" w:rsidRDefault="00016ECE" w:rsidP="00872435">
            <w:r>
              <w:t>Number</w:t>
            </w:r>
          </w:p>
        </w:tc>
        <w:tc>
          <w:tcPr>
            <w:tcW w:w="1060" w:type="dxa"/>
          </w:tcPr>
          <w:p w:rsidR="00016ECE" w:rsidRDefault="00016ECE" w:rsidP="00872435">
            <w:r>
              <w:t>%</w:t>
            </w:r>
          </w:p>
        </w:tc>
      </w:tr>
      <w:tr w:rsidR="00B736C1" w:rsidTr="00872435">
        <w:tc>
          <w:tcPr>
            <w:tcW w:w="1988" w:type="dxa"/>
            <w:shd w:val="clear" w:color="auto" w:fill="00B0F0"/>
          </w:tcPr>
          <w:p w:rsidR="00B736C1" w:rsidRDefault="00B736C1" w:rsidP="00B736C1">
            <w:r>
              <w:t>Maintaining</w:t>
            </w:r>
          </w:p>
        </w:tc>
        <w:tc>
          <w:tcPr>
            <w:tcW w:w="1295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186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121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  <w:tc>
          <w:tcPr>
            <w:tcW w:w="1060" w:type="dxa"/>
            <w:shd w:val="clear" w:color="auto" w:fill="00B0F0"/>
          </w:tcPr>
          <w:p w:rsidR="00B736C1" w:rsidRDefault="00B736C1" w:rsidP="00B736C1">
            <w:r>
              <w:t>0</w:t>
            </w:r>
          </w:p>
        </w:tc>
      </w:tr>
      <w:tr w:rsidR="00B736C1" w:rsidTr="00872435">
        <w:tc>
          <w:tcPr>
            <w:tcW w:w="1988" w:type="dxa"/>
            <w:shd w:val="clear" w:color="auto" w:fill="FFC000"/>
          </w:tcPr>
          <w:p w:rsidR="00B736C1" w:rsidRDefault="00B736C1" w:rsidP="00B736C1">
            <w:r>
              <w:t>Emerging</w:t>
            </w:r>
          </w:p>
        </w:tc>
        <w:tc>
          <w:tcPr>
            <w:tcW w:w="1295" w:type="dxa"/>
            <w:shd w:val="clear" w:color="auto" w:fill="FFC000"/>
          </w:tcPr>
          <w:p w:rsidR="00B736C1" w:rsidRDefault="00B736C1" w:rsidP="00B736C1">
            <w:r>
              <w:t>0</w:t>
            </w:r>
          </w:p>
        </w:tc>
        <w:tc>
          <w:tcPr>
            <w:tcW w:w="1186" w:type="dxa"/>
            <w:shd w:val="clear" w:color="auto" w:fill="FFC000"/>
          </w:tcPr>
          <w:p w:rsidR="00B736C1" w:rsidRDefault="00B736C1" w:rsidP="00B736C1">
            <w:r>
              <w:t>0</w:t>
            </w:r>
          </w:p>
        </w:tc>
        <w:tc>
          <w:tcPr>
            <w:tcW w:w="1121" w:type="dxa"/>
            <w:shd w:val="clear" w:color="auto" w:fill="FFC000"/>
          </w:tcPr>
          <w:p w:rsidR="00B736C1" w:rsidRDefault="00B736C1" w:rsidP="00B736C1">
            <w:r>
              <w:t>0</w:t>
            </w:r>
          </w:p>
        </w:tc>
        <w:tc>
          <w:tcPr>
            <w:tcW w:w="1060" w:type="dxa"/>
            <w:shd w:val="clear" w:color="auto" w:fill="FFC000"/>
          </w:tcPr>
          <w:p w:rsidR="00B736C1" w:rsidRDefault="00B736C1" w:rsidP="00B736C1">
            <w:r>
              <w:t>0</w:t>
            </w:r>
          </w:p>
        </w:tc>
      </w:tr>
      <w:tr w:rsidR="00016ECE" w:rsidTr="00872435">
        <w:tc>
          <w:tcPr>
            <w:tcW w:w="1988" w:type="dxa"/>
            <w:shd w:val="clear" w:color="auto" w:fill="00B050"/>
          </w:tcPr>
          <w:p w:rsidR="00016ECE" w:rsidRDefault="00016ECE" w:rsidP="00872435">
            <w:r>
              <w:t>Expected</w:t>
            </w:r>
          </w:p>
        </w:tc>
        <w:tc>
          <w:tcPr>
            <w:tcW w:w="1295" w:type="dxa"/>
            <w:shd w:val="clear" w:color="auto" w:fill="00B050"/>
          </w:tcPr>
          <w:p w:rsidR="00016ECE" w:rsidRDefault="00016ECE" w:rsidP="00872435">
            <w:pPr>
              <w:tabs>
                <w:tab w:val="left" w:pos="837"/>
              </w:tabs>
            </w:pPr>
            <w:r>
              <w:t>2</w:t>
            </w:r>
          </w:p>
        </w:tc>
        <w:tc>
          <w:tcPr>
            <w:tcW w:w="1186" w:type="dxa"/>
            <w:shd w:val="clear" w:color="auto" w:fill="00B050"/>
          </w:tcPr>
          <w:p w:rsidR="00016ECE" w:rsidRDefault="00016ECE" w:rsidP="00872435">
            <w:r>
              <w:t>67</w:t>
            </w:r>
          </w:p>
        </w:tc>
        <w:tc>
          <w:tcPr>
            <w:tcW w:w="1121" w:type="dxa"/>
            <w:shd w:val="clear" w:color="auto" w:fill="00B050"/>
          </w:tcPr>
          <w:p w:rsidR="00016ECE" w:rsidRDefault="00B736C1" w:rsidP="00872435">
            <w:r>
              <w:t>1</w:t>
            </w:r>
          </w:p>
        </w:tc>
        <w:tc>
          <w:tcPr>
            <w:tcW w:w="1060" w:type="dxa"/>
            <w:shd w:val="clear" w:color="auto" w:fill="00B050"/>
          </w:tcPr>
          <w:p w:rsidR="00016ECE" w:rsidRDefault="00B736C1" w:rsidP="00872435">
            <w:r>
              <w:t>33</w:t>
            </w:r>
          </w:p>
        </w:tc>
      </w:tr>
      <w:tr w:rsidR="00016ECE" w:rsidTr="00872435">
        <w:tc>
          <w:tcPr>
            <w:tcW w:w="1988" w:type="dxa"/>
            <w:shd w:val="clear" w:color="auto" w:fill="7030A0"/>
          </w:tcPr>
          <w:p w:rsidR="00016ECE" w:rsidRDefault="00016ECE" w:rsidP="00872435">
            <w:r>
              <w:t>Exceeding</w:t>
            </w:r>
          </w:p>
        </w:tc>
        <w:tc>
          <w:tcPr>
            <w:tcW w:w="1295" w:type="dxa"/>
            <w:shd w:val="clear" w:color="auto" w:fill="7030A0"/>
          </w:tcPr>
          <w:p w:rsidR="00016ECE" w:rsidRDefault="00016ECE" w:rsidP="00872435">
            <w:r>
              <w:t>1</w:t>
            </w:r>
          </w:p>
        </w:tc>
        <w:tc>
          <w:tcPr>
            <w:tcW w:w="1186" w:type="dxa"/>
            <w:shd w:val="clear" w:color="auto" w:fill="7030A0"/>
          </w:tcPr>
          <w:p w:rsidR="00016ECE" w:rsidRDefault="00016ECE" w:rsidP="00872435">
            <w:r>
              <w:t>33</w:t>
            </w:r>
          </w:p>
        </w:tc>
        <w:tc>
          <w:tcPr>
            <w:tcW w:w="1121" w:type="dxa"/>
            <w:shd w:val="clear" w:color="auto" w:fill="7030A0"/>
          </w:tcPr>
          <w:p w:rsidR="00016ECE" w:rsidRDefault="00B736C1" w:rsidP="00872435">
            <w:r>
              <w:t>2</w:t>
            </w:r>
          </w:p>
        </w:tc>
        <w:tc>
          <w:tcPr>
            <w:tcW w:w="1060" w:type="dxa"/>
            <w:shd w:val="clear" w:color="auto" w:fill="7030A0"/>
          </w:tcPr>
          <w:p w:rsidR="00016ECE" w:rsidRDefault="00B736C1" w:rsidP="00872435">
            <w:r>
              <w:t>67</w:t>
            </w:r>
          </w:p>
        </w:tc>
      </w:tr>
    </w:tbl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016ECE" w:rsidRDefault="00016ECE" w:rsidP="00212E32">
      <w:pPr>
        <w:rPr>
          <w:b/>
        </w:rPr>
      </w:pPr>
    </w:p>
    <w:p w:rsidR="00212E32" w:rsidRDefault="00212E32" w:rsidP="00A63F6E">
      <w:pPr>
        <w:pStyle w:val="ListParagraph"/>
        <w:numPr>
          <w:ilvl w:val="0"/>
          <w:numId w:val="3"/>
        </w:numPr>
      </w:pPr>
      <w:r w:rsidRPr="002E2B49">
        <w:t xml:space="preserve">In </w:t>
      </w:r>
      <w:r>
        <w:t>C</w:t>
      </w:r>
      <w:r w:rsidR="00A63F6E">
        <w:t>ommunication and Interaction</w:t>
      </w:r>
      <w:r w:rsidRPr="002E2B49">
        <w:t>, Pupil Premium Learners</w:t>
      </w:r>
      <w:r>
        <w:t xml:space="preserve"> make pr</w:t>
      </w:r>
      <w:r w:rsidR="00A63F6E">
        <w:t>ogress at a rate that is broadly in line with t</w:t>
      </w:r>
      <w:r>
        <w:t>hat</w:t>
      </w:r>
      <w:r w:rsidR="00A63F6E">
        <w:t xml:space="preserve"> of Non-Pupil Premium Learners on the Achievement and Celebration Pathway. </w:t>
      </w:r>
    </w:p>
    <w:p w:rsidR="00A63F6E" w:rsidRDefault="00A63F6E" w:rsidP="00A63F6E">
      <w:pPr>
        <w:pStyle w:val="ListParagraph"/>
        <w:numPr>
          <w:ilvl w:val="0"/>
          <w:numId w:val="3"/>
        </w:numPr>
      </w:pPr>
      <w:r>
        <w:t xml:space="preserve">On the Celebration Pathway, in order to make progress better for our PP pupils more pupils need to move from expected to exceeding progress. </w:t>
      </w:r>
    </w:p>
    <w:p w:rsidR="00A63F6E" w:rsidRDefault="00A63F6E" w:rsidP="00A63F6E">
      <w:pPr>
        <w:pStyle w:val="ListParagraph"/>
        <w:numPr>
          <w:ilvl w:val="0"/>
          <w:numId w:val="3"/>
        </w:numPr>
      </w:pPr>
      <w:r>
        <w:t xml:space="preserve">On the Belonging Pathway, all PP Pupils are making progress, however PP pupils seem to be making emerging progress rather than expected. They will be a priority for the Speech and Language Therapist next academic year. </w:t>
      </w:r>
    </w:p>
    <w:p w:rsidR="00212E32" w:rsidRPr="002E2B49" w:rsidRDefault="00212E32" w:rsidP="00212E32">
      <w:pPr>
        <w:pStyle w:val="ListParagraph"/>
      </w:pPr>
    </w:p>
    <w:sectPr w:rsidR="00212E32" w:rsidRPr="002E2B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32" w:rsidRDefault="00212E32" w:rsidP="00212E32">
      <w:pPr>
        <w:spacing w:after="0" w:line="240" w:lineRule="auto"/>
      </w:pPr>
      <w:r>
        <w:separator/>
      </w:r>
    </w:p>
  </w:endnote>
  <w:endnote w:type="continuationSeparator" w:id="0">
    <w:p w:rsidR="00212E32" w:rsidRDefault="00212E32" w:rsidP="002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50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E32" w:rsidRDefault="00212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E32" w:rsidRDefault="0021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32" w:rsidRDefault="00212E32" w:rsidP="00212E32">
      <w:pPr>
        <w:spacing w:after="0" w:line="240" w:lineRule="auto"/>
      </w:pPr>
      <w:r>
        <w:separator/>
      </w:r>
    </w:p>
  </w:footnote>
  <w:footnote w:type="continuationSeparator" w:id="0">
    <w:p w:rsidR="00212E32" w:rsidRDefault="00212E32" w:rsidP="0021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E32" w:rsidRDefault="00212E32">
    <w:pPr>
      <w:pStyle w:val="Header"/>
    </w:pPr>
    <w:r>
      <w:t xml:space="preserve">New Siblands Pupil Premium </w:t>
    </w:r>
    <w:r w:rsidR="007561F8">
      <w:t xml:space="preserve">Sept 19 – March </w:t>
    </w:r>
    <w:r w:rsidR="00D615E5">
      <w:t>20</w:t>
    </w:r>
  </w:p>
  <w:p w:rsidR="00212E32" w:rsidRDefault="00212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C"/>
    <w:multiLevelType w:val="hybridMultilevel"/>
    <w:tmpl w:val="3582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3EE"/>
    <w:multiLevelType w:val="hybridMultilevel"/>
    <w:tmpl w:val="89A0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2E9"/>
    <w:multiLevelType w:val="multilevel"/>
    <w:tmpl w:val="646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D"/>
    <w:rsid w:val="00013F5D"/>
    <w:rsid w:val="00016ECE"/>
    <w:rsid w:val="00136AD8"/>
    <w:rsid w:val="00185D72"/>
    <w:rsid w:val="001A56B2"/>
    <w:rsid w:val="001F1CC6"/>
    <w:rsid w:val="00211904"/>
    <w:rsid w:val="00212E32"/>
    <w:rsid w:val="002427FB"/>
    <w:rsid w:val="00242F20"/>
    <w:rsid w:val="002D60AC"/>
    <w:rsid w:val="002E2B49"/>
    <w:rsid w:val="002F6DB1"/>
    <w:rsid w:val="00316024"/>
    <w:rsid w:val="003F1A2D"/>
    <w:rsid w:val="004463C6"/>
    <w:rsid w:val="00454A11"/>
    <w:rsid w:val="004568E4"/>
    <w:rsid w:val="005600F8"/>
    <w:rsid w:val="005A0E65"/>
    <w:rsid w:val="00602B8C"/>
    <w:rsid w:val="00635327"/>
    <w:rsid w:val="006967F7"/>
    <w:rsid w:val="006C3D34"/>
    <w:rsid w:val="007561F8"/>
    <w:rsid w:val="00767424"/>
    <w:rsid w:val="00816D8C"/>
    <w:rsid w:val="0083356C"/>
    <w:rsid w:val="008B0449"/>
    <w:rsid w:val="00950BDE"/>
    <w:rsid w:val="009E4FF2"/>
    <w:rsid w:val="00A63F6E"/>
    <w:rsid w:val="00A70C0A"/>
    <w:rsid w:val="00B736C1"/>
    <w:rsid w:val="00B8336A"/>
    <w:rsid w:val="00BA142B"/>
    <w:rsid w:val="00BE5AE1"/>
    <w:rsid w:val="00BF0521"/>
    <w:rsid w:val="00BF3740"/>
    <w:rsid w:val="00C31CD5"/>
    <w:rsid w:val="00C475E2"/>
    <w:rsid w:val="00CA1098"/>
    <w:rsid w:val="00D4181A"/>
    <w:rsid w:val="00D60456"/>
    <w:rsid w:val="00D615E5"/>
    <w:rsid w:val="00DB43F0"/>
    <w:rsid w:val="00DD564A"/>
    <w:rsid w:val="00E85C32"/>
    <w:rsid w:val="00F560C6"/>
    <w:rsid w:val="00FA09A1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EC97"/>
  <w15:chartTrackingRefBased/>
  <w15:docId w15:val="{D1E8DB3A-7443-4DF4-99D3-378EB6E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0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356C"/>
    <w:pPr>
      <w:ind w:left="720"/>
      <w:contextualSpacing/>
    </w:pPr>
  </w:style>
  <w:style w:type="table" w:styleId="TableGrid">
    <w:name w:val="Table Grid"/>
    <w:basedOn w:val="TableNormal"/>
    <w:uiPriority w:val="39"/>
    <w:rsid w:val="00D6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32"/>
  </w:style>
  <w:style w:type="paragraph" w:styleId="Footer">
    <w:name w:val="footer"/>
    <w:basedOn w:val="Normal"/>
    <w:link w:val="FooterChar"/>
    <w:uiPriority w:val="99"/>
    <w:unhideWhenUsed/>
    <w:rsid w:val="0021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32"/>
  </w:style>
  <w:style w:type="paragraph" w:styleId="BalloonText">
    <w:name w:val="Balloon Text"/>
    <w:basedOn w:val="Normal"/>
    <w:link w:val="BalloonTextChar"/>
    <w:uiPriority w:val="99"/>
    <w:semiHidden/>
    <w:unhideWhenUsed/>
    <w:rsid w:val="0021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3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MR-FS-NSS-01\NSS\Admin_Shared\Angela\Pupil's%20Needs\PP%20SP%20Li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Speech and Language Time Allocation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BF-4478-9890-53E72D3C5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BF-4478-9890-53E72D3C5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BF-4478-9890-53E72D3C5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BF-4478-9890-53E72D3C53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BF-4478-9890-53E72D3C53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7BF-4478-9890-53E72D3C538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7BF-4478-9890-53E72D3C538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7BF-4478-9890-53E72D3C538E}"/>
              </c:ext>
            </c:extLst>
          </c:dPt>
          <c:cat>
            <c:strRef>
              <c:f>Sheet2!$A$13:$A$20</c:f>
              <c:strCache>
                <c:ptCount val="8"/>
                <c:pt idx="0">
                  <c:v>Direct Interventions</c:v>
                </c:pt>
                <c:pt idx="1">
                  <c:v>Assessment (initial and ongoing)</c:v>
                </c:pt>
                <c:pt idx="2">
                  <c:v>Staff Training</c:v>
                </c:pt>
                <c:pt idx="3">
                  <c:v>Quaity Assurance (staff delivering interventions)</c:v>
                </c:pt>
                <c:pt idx="4">
                  <c:v>Report writing</c:v>
                </c:pt>
                <c:pt idx="5">
                  <c:v>Liaison with external agencies and professionals</c:v>
                </c:pt>
                <c:pt idx="6">
                  <c:v>Parental Support</c:v>
                </c:pt>
                <c:pt idx="7">
                  <c:v>AAC and Eyegaze support</c:v>
                </c:pt>
              </c:strCache>
            </c:strRef>
          </c:cat>
          <c:val>
            <c:numRef>
              <c:f>Sheet2!$B$13:$B$20</c:f>
              <c:numCache>
                <c:formatCode>General</c:formatCode>
                <c:ptCount val="8"/>
                <c:pt idx="0">
                  <c:v>342</c:v>
                </c:pt>
                <c:pt idx="1">
                  <c:v>68.400000000000006</c:v>
                </c:pt>
                <c:pt idx="2">
                  <c:v>68.400000000000006</c:v>
                </c:pt>
                <c:pt idx="3">
                  <c:v>34.200000000000003</c:v>
                </c:pt>
                <c:pt idx="4">
                  <c:v>34.200000000000003</c:v>
                </c:pt>
                <c:pt idx="5">
                  <c:v>34.200000000000003</c:v>
                </c:pt>
                <c:pt idx="6">
                  <c:v>34.200000000000003</c:v>
                </c:pt>
                <c:pt idx="7">
                  <c:v>68.400000000000006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7BF-4478-9890-53E72D3C5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Windsor</dc:creator>
  <cp:keywords/>
  <dc:description/>
  <cp:lastModifiedBy>Angela Windsor</cp:lastModifiedBy>
  <cp:revision>12</cp:revision>
  <cp:lastPrinted>2020-09-04T08:29:00Z</cp:lastPrinted>
  <dcterms:created xsi:type="dcterms:W3CDTF">2019-09-25T08:14:00Z</dcterms:created>
  <dcterms:modified xsi:type="dcterms:W3CDTF">2020-09-04T09:29:00Z</dcterms:modified>
</cp:coreProperties>
</file>