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45" w:rsidRDefault="00EF09CF">
      <w:pPr>
        <w:rPr>
          <w:b/>
        </w:rPr>
      </w:pPr>
      <w:r>
        <w:rPr>
          <w:b/>
        </w:rPr>
        <w:t xml:space="preserve">Year 7 Catch Up Premium </w:t>
      </w:r>
    </w:p>
    <w:p w:rsidR="00EF09CF" w:rsidRDefault="00EF09CF">
      <w:r>
        <w:t xml:space="preserve">The value of Year 7 Catch </w:t>
      </w:r>
      <w:proofErr w:type="gramStart"/>
      <w:r>
        <w:t>Up</w:t>
      </w:r>
      <w:proofErr w:type="gramEnd"/>
      <w:r>
        <w:t xml:space="preserve"> </w:t>
      </w:r>
      <w:bookmarkStart w:id="0" w:name="_GoBack"/>
      <w:bookmarkEnd w:id="0"/>
      <w:r w:rsidRPr="00AD5E8F">
        <w:t xml:space="preserve">Funding is </w:t>
      </w:r>
      <w:r w:rsidR="00AD5E8F" w:rsidRPr="00AD5E8F">
        <w:t>£4,500</w:t>
      </w:r>
      <w:r w:rsidRPr="00AD5E8F">
        <w:t>.</w:t>
      </w:r>
      <w:r>
        <w:t xml:space="preserve"> This is for </w:t>
      </w:r>
      <w:r w:rsidR="00957B7F">
        <w:t>9</w:t>
      </w:r>
      <w:r w:rsidRPr="002D02AB">
        <w:t xml:space="preserve"> pupils in Year 7.</w:t>
      </w:r>
      <w:r>
        <w:t xml:space="preserve"> </w:t>
      </w:r>
    </w:p>
    <w:p w:rsidR="0083356C" w:rsidRPr="0083356C" w:rsidRDefault="0083356C">
      <w:pPr>
        <w:rPr>
          <w:b/>
        </w:rPr>
      </w:pPr>
      <w:r>
        <w:rPr>
          <w:b/>
        </w:rPr>
        <w:t>Rationale</w:t>
      </w:r>
    </w:p>
    <w:p w:rsidR="00D96263" w:rsidRDefault="00D96263" w:rsidP="00D96263">
      <w:pPr>
        <w:shd w:val="clear" w:color="auto" w:fill="FFFFFF"/>
        <w:spacing w:before="300" w:after="300" w:line="240" w:lineRule="auto"/>
      </w:pPr>
      <w:r>
        <w:t xml:space="preserve">To address learning needs in Year 7 in the following area; </w:t>
      </w:r>
    </w:p>
    <w:p w:rsidR="00EF09CF" w:rsidRDefault="00D96263" w:rsidP="00EF09CF">
      <w:pPr>
        <w:numPr>
          <w:ilvl w:val="0"/>
          <w:numId w:val="4"/>
        </w:numPr>
        <w:shd w:val="clear" w:color="auto" w:fill="FFFFFF"/>
        <w:spacing w:after="75" w:line="240" w:lineRule="auto"/>
        <w:ind w:left="300"/>
      </w:pPr>
      <w:r w:rsidRPr="00EF09CF">
        <w:t>R</w:t>
      </w:r>
      <w:r w:rsidR="00EF09CF" w:rsidRPr="00EF09CF">
        <w:t>eading</w:t>
      </w:r>
    </w:p>
    <w:p w:rsidR="00D96263" w:rsidRPr="00EF09CF" w:rsidRDefault="00D96263" w:rsidP="00EF09CF">
      <w:pPr>
        <w:numPr>
          <w:ilvl w:val="0"/>
          <w:numId w:val="4"/>
        </w:numPr>
        <w:shd w:val="clear" w:color="auto" w:fill="FFFFFF"/>
        <w:spacing w:after="75" w:line="240" w:lineRule="auto"/>
        <w:ind w:left="300"/>
      </w:pPr>
      <w:r>
        <w:t>Mathematics</w:t>
      </w:r>
    </w:p>
    <w:p w:rsidR="00EF09CF" w:rsidRPr="00EF09CF" w:rsidRDefault="00D96263" w:rsidP="00EF09CF">
      <w:pPr>
        <w:numPr>
          <w:ilvl w:val="0"/>
          <w:numId w:val="4"/>
        </w:numPr>
        <w:shd w:val="clear" w:color="auto" w:fill="FFFFFF"/>
        <w:spacing w:after="75" w:line="240" w:lineRule="auto"/>
        <w:ind w:left="300"/>
      </w:pPr>
      <w:r>
        <w:t>G</w:t>
      </w:r>
      <w:r w:rsidR="00EF09CF" w:rsidRPr="00EF09CF">
        <w:t xml:space="preserve">rammar, </w:t>
      </w:r>
      <w:r>
        <w:t>Punctuation and S</w:t>
      </w:r>
      <w:r w:rsidR="00EF09CF" w:rsidRPr="00EF09CF">
        <w:t>pelling</w:t>
      </w:r>
    </w:p>
    <w:p w:rsidR="00D96263" w:rsidRPr="00EF09CF" w:rsidRDefault="00D96263" w:rsidP="00EF09CF">
      <w:pPr>
        <w:shd w:val="clear" w:color="auto" w:fill="FFFFFF"/>
        <w:spacing w:before="300" w:after="300" w:line="240" w:lineRule="auto"/>
      </w:pPr>
      <w:r>
        <w:t xml:space="preserve">We are using the grant to provide programmes and resources that </w:t>
      </w:r>
      <w:r w:rsidR="00EF09CF" w:rsidRPr="00EF09CF">
        <w:t>are effective</w:t>
      </w:r>
      <w:r>
        <w:t xml:space="preserve"> in addressing learning needs in these areas for pupils with SLD and PMLD. </w:t>
      </w:r>
    </w:p>
    <w:p w:rsidR="00EF09CF" w:rsidRPr="00EF09CF" w:rsidRDefault="00D96263" w:rsidP="002D02AB">
      <w:pPr>
        <w:numPr>
          <w:ilvl w:val="0"/>
          <w:numId w:val="5"/>
        </w:numPr>
        <w:shd w:val="clear" w:color="auto" w:fill="FFFFFF"/>
        <w:spacing w:after="75" w:line="240" w:lineRule="auto"/>
        <w:ind w:left="300"/>
      </w:pPr>
      <w:r>
        <w:t>See &amp; Learn Resources and Training</w:t>
      </w:r>
      <w:r w:rsidR="00014012">
        <w:t xml:space="preserve">  </w:t>
      </w:r>
    </w:p>
    <w:p w:rsidR="00EF09CF" w:rsidRPr="00EF09CF" w:rsidRDefault="00D96263" w:rsidP="00EF09CF">
      <w:pPr>
        <w:numPr>
          <w:ilvl w:val="0"/>
          <w:numId w:val="5"/>
        </w:numPr>
        <w:shd w:val="clear" w:color="auto" w:fill="FFFFFF"/>
        <w:spacing w:after="75" w:line="240" w:lineRule="auto"/>
        <w:ind w:left="300"/>
      </w:pPr>
      <w:r>
        <w:t>Objects of Reference Resources and Training</w:t>
      </w:r>
    </w:p>
    <w:p w:rsidR="00EF09CF" w:rsidRPr="00EF09CF" w:rsidRDefault="00D96263" w:rsidP="00EF09CF">
      <w:pPr>
        <w:numPr>
          <w:ilvl w:val="0"/>
          <w:numId w:val="5"/>
        </w:numPr>
        <w:shd w:val="clear" w:color="auto" w:fill="FFFFFF"/>
        <w:spacing w:after="75" w:line="240" w:lineRule="auto"/>
        <w:ind w:left="300"/>
      </w:pPr>
      <w:r>
        <w:t>High Quality Literacy Text and Related Resources</w:t>
      </w:r>
    </w:p>
    <w:p w:rsidR="00EF09CF" w:rsidRDefault="00D96263" w:rsidP="00EF09CF">
      <w:pPr>
        <w:numPr>
          <w:ilvl w:val="0"/>
          <w:numId w:val="5"/>
        </w:numPr>
        <w:shd w:val="clear" w:color="auto" w:fill="FFFFFF"/>
        <w:spacing w:after="75" w:line="240" w:lineRule="auto"/>
        <w:ind w:left="300"/>
      </w:pPr>
      <w:r>
        <w:t>Reading Schemes</w:t>
      </w:r>
    </w:p>
    <w:p w:rsidR="00D96263" w:rsidRDefault="00D96263" w:rsidP="00EF09CF">
      <w:pPr>
        <w:numPr>
          <w:ilvl w:val="0"/>
          <w:numId w:val="5"/>
        </w:numPr>
        <w:shd w:val="clear" w:color="auto" w:fill="FFFFFF"/>
        <w:spacing w:after="75" w:line="240" w:lineRule="auto"/>
        <w:ind w:left="300"/>
      </w:pPr>
      <w:r>
        <w:t xml:space="preserve">Numicon </w:t>
      </w:r>
      <w:r w:rsidR="002D02AB">
        <w:t xml:space="preserve">&amp; Maths </w:t>
      </w:r>
      <w:r>
        <w:t xml:space="preserve">Resources </w:t>
      </w:r>
    </w:p>
    <w:p w:rsidR="00D96263" w:rsidRPr="00EF09CF" w:rsidRDefault="00D96263" w:rsidP="00D96263">
      <w:pPr>
        <w:shd w:val="clear" w:color="auto" w:fill="FFFFFF"/>
        <w:spacing w:after="75" w:line="240" w:lineRule="auto"/>
      </w:pPr>
    </w:p>
    <w:p w:rsidR="0083356C" w:rsidRDefault="00BF0521" w:rsidP="00602B8C">
      <w:pPr>
        <w:shd w:val="clear" w:color="auto" w:fill="FFFFFF"/>
        <w:spacing w:after="300" w:line="240" w:lineRule="auto"/>
        <w:rPr>
          <w:b/>
        </w:rPr>
      </w:pPr>
      <w:r>
        <w:rPr>
          <w:b/>
        </w:rPr>
        <w:t>Aims</w:t>
      </w:r>
    </w:p>
    <w:p w:rsidR="00D96263" w:rsidRDefault="00D96263" w:rsidP="00D96263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To supplement training and resources of known effective programmes specific to SLD and PMLD</w:t>
      </w:r>
    </w:p>
    <w:p w:rsidR="00D96263" w:rsidRDefault="00D96263" w:rsidP="00D96263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To support good progress in maths and reading for Year 7  pupils</w:t>
      </w:r>
    </w:p>
    <w:p w:rsidR="00BF0521" w:rsidRDefault="00BF0521" w:rsidP="00BF0521">
      <w:pPr>
        <w:shd w:val="clear" w:color="auto" w:fill="FFFFFF"/>
        <w:spacing w:before="300" w:after="300" w:line="240" w:lineRule="auto"/>
        <w:rPr>
          <w:b/>
        </w:rPr>
      </w:pPr>
      <w:r>
        <w:rPr>
          <w:b/>
        </w:rPr>
        <w:t>Success Criteria</w:t>
      </w:r>
    </w:p>
    <w:p w:rsidR="00A70C0A" w:rsidRPr="00BF0521" w:rsidRDefault="00D96263" w:rsidP="00BF0521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>
        <w:t>Year 7 Pupils make good</w:t>
      </w:r>
      <w:r w:rsidR="00957B7F">
        <w:t xml:space="preserve"> or better</w:t>
      </w:r>
      <w:r>
        <w:t xml:space="preserve"> progress in reading, number, and shape, space and measure. </w:t>
      </w: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C262F5" w:rsidRDefault="00C262F5">
      <w:pPr>
        <w:rPr>
          <w:b/>
        </w:rPr>
      </w:pPr>
    </w:p>
    <w:p w:rsidR="003F1A2D" w:rsidRDefault="00D96263">
      <w:pPr>
        <w:rPr>
          <w:b/>
        </w:rPr>
      </w:pPr>
      <w:r>
        <w:rPr>
          <w:b/>
        </w:rPr>
        <w:t>Allocation of Year 7 Catch Up Premium</w:t>
      </w:r>
    </w:p>
    <w:p w:rsidR="00A70C0A" w:rsidRDefault="00C262F5">
      <w:r>
        <w:rPr>
          <w:noProof/>
          <w:lang w:eastAsia="en-GB"/>
        </w:rPr>
        <w:drawing>
          <wp:inline distT="0" distB="0" distL="0" distR="0" wp14:anchorId="46C90B95" wp14:editId="64BFC1DA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C0A" w:rsidRDefault="00C262F5">
      <w:pPr>
        <w:rPr>
          <w:b/>
        </w:rPr>
      </w:pPr>
      <w:r>
        <w:rPr>
          <w:b/>
        </w:rPr>
        <w:t>Impact</w:t>
      </w:r>
      <w:r w:rsidR="00D96263">
        <w:rPr>
          <w:b/>
        </w:rPr>
        <w:t xml:space="preserve"> on Year 7 Pupils</w:t>
      </w:r>
    </w:p>
    <w:p w:rsidR="00146B3E" w:rsidRDefault="00146B3E" w:rsidP="00146B3E">
      <w:r>
        <w:t xml:space="preserve">Please note that progress was effected as school shut in March 2020 following a new assessment system being introduced in January 2020. </w:t>
      </w:r>
      <w:r>
        <w:rPr>
          <w:b/>
          <w:u w:val="single"/>
        </w:rPr>
        <w:t>So the progress is measured on 3 months of data.</w:t>
      </w:r>
      <w:r>
        <w:t xml:space="preserve"> </w:t>
      </w:r>
    </w:p>
    <w:p w:rsidR="00C32736" w:rsidRPr="00C32736" w:rsidRDefault="008012A9">
      <w:r>
        <w:t xml:space="preserve">Cohort of 9 </w:t>
      </w:r>
      <w:r w:rsidR="00C32736" w:rsidRPr="00C32736">
        <w:t>learners</w:t>
      </w:r>
      <w:r w:rsidR="00C32736">
        <w:t xml:space="preserve"> in Year 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012A9" w:rsidTr="008012A9">
        <w:trPr>
          <w:trHeight w:val="372"/>
        </w:trPr>
        <w:tc>
          <w:tcPr>
            <w:tcW w:w="1802" w:type="dxa"/>
          </w:tcPr>
          <w:p w:rsidR="008012A9" w:rsidRDefault="008012A9" w:rsidP="00D4181A"/>
        </w:tc>
        <w:tc>
          <w:tcPr>
            <w:tcW w:w="1803" w:type="dxa"/>
            <w:shd w:val="clear" w:color="auto" w:fill="00B0F0"/>
          </w:tcPr>
          <w:p w:rsidR="008012A9" w:rsidRPr="00C32736" w:rsidRDefault="008012A9" w:rsidP="00C32736">
            <w:pPr>
              <w:jc w:val="center"/>
              <w:rPr>
                <w:b/>
              </w:rPr>
            </w:pPr>
            <w:r>
              <w:rPr>
                <w:b/>
              </w:rPr>
              <w:t>Maintaining</w:t>
            </w:r>
          </w:p>
        </w:tc>
        <w:tc>
          <w:tcPr>
            <w:tcW w:w="1803" w:type="dxa"/>
            <w:shd w:val="clear" w:color="auto" w:fill="FFFF00"/>
          </w:tcPr>
          <w:p w:rsidR="008012A9" w:rsidRPr="00C32736" w:rsidRDefault="008012A9" w:rsidP="00C32736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1804" w:type="dxa"/>
            <w:shd w:val="clear" w:color="auto" w:fill="00B050"/>
          </w:tcPr>
          <w:p w:rsidR="008012A9" w:rsidRPr="00C32736" w:rsidRDefault="008012A9" w:rsidP="00C32736">
            <w:pPr>
              <w:jc w:val="center"/>
              <w:rPr>
                <w:b/>
              </w:rPr>
            </w:pPr>
            <w:r w:rsidRPr="00C32736">
              <w:rPr>
                <w:b/>
              </w:rPr>
              <w:t>Expected</w:t>
            </w:r>
          </w:p>
        </w:tc>
        <w:tc>
          <w:tcPr>
            <w:tcW w:w="1804" w:type="dxa"/>
            <w:shd w:val="clear" w:color="auto" w:fill="7030A0"/>
          </w:tcPr>
          <w:p w:rsidR="008012A9" w:rsidRPr="00C32736" w:rsidRDefault="008012A9" w:rsidP="00C32736">
            <w:pPr>
              <w:jc w:val="center"/>
              <w:rPr>
                <w:b/>
              </w:rPr>
            </w:pPr>
            <w:r w:rsidRPr="00C32736">
              <w:rPr>
                <w:b/>
              </w:rPr>
              <w:t>Exceeded</w:t>
            </w:r>
          </w:p>
        </w:tc>
      </w:tr>
      <w:tr w:rsidR="008012A9" w:rsidTr="008012A9">
        <w:tc>
          <w:tcPr>
            <w:tcW w:w="1802" w:type="dxa"/>
          </w:tcPr>
          <w:p w:rsidR="008012A9" w:rsidRPr="00C32736" w:rsidRDefault="008012A9" w:rsidP="00D4181A">
            <w:pPr>
              <w:rPr>
                <w:b/>
              </w:rPr>
            </w:pPr>
            <w:r w:rsidRPr="00C32736">
              <w:rPr>
                <w:b/>
              </w:rPr>
              <w:t>Reading</w:t>
            </w:r>
          </w:p>
        </w:tc>
        <w:tc>
          <w:tcPr>
            <w:tcW w:w="1803" w:type="dxa"/>
            <w:shd w:val="clear" w:color="auto" w:fill="00B0F0"/>
          </w:tcPr>
          <w:p w:rsidR="008012A9" w:rsidRDefault="008012A9" w:rsidP="00C32736">
            <w:pPr>
              <w:jc w:val="center"/>
            </w:pPr>
            <w:r>
              <w:t>2 (22%)</w:t>
            </w:r>
          </w:p>
        </w:tc>
        <w:tc>
          <w:tcPr>
            <w:tcW w:w="1803" w:type="dxa"/>
            <w:shd w:val="clear" w:color="auto" w:fill="FFFF00"/>
          </w:tcPr>
          <w:p w:rsidR="008012A9" w:rsidRDefault="008012A9" w:rsidP="00C32736">
            <w:pPr>
              <w:jc w:val="center"/>
            </w:pPr>
            <w:r>
              <w:t>2 (22%)</w:t>
            </w:r>
          </w:p>
        </w:tc>
        <w:tc>
          <w:tcPr>
            <w:tcW w:w="1804" w:type="dxa"/>
            <w:shd w:val="clear" w:color="auto" w:fill="00B050"/>
          </w:tcPr>
          <w:p w:rsidR="008012A9" w:rsidRDefault="008012A9" w:rsidP="00C32736">
            <w:pPr>
              <w:jc w:val="center"/>
            </w:pPr>
            <w:r>
              <w:t>4 (44%)</w:t>
            </w:r>
          </w:p>
        </w:tc>
        <w:tc>
          <w:tcPr>
            <w:tcW w:w="1804" w:type="dxa"/>
            <w:shd w:val="clear" w:color="auto" w:fill="7030A0"/>
          </w:tcPr>
          <w:p w:rsidR="008012A9" w:rsidRDefault="008012A9" w:rsidP="00C32736">
            <w:pPr>
              <w:jc w:val="center"/>
            </w:pPr>
            <w:r>
              <w:t>1 (11%)</w:t>
            </w:r>
          </w:p>
        </w:tc>
      </w:tr>
      <w:tr w:rsidR="008012A9" w:rsidTr="008012A9">
        <w:tc>
          <w:tcPr>
            <w:tcW w:w="1802" w:type="dxa"/>
          </w:tcPr>
          <w:p w:rsidR="008012A9" w:rsidRPr="00C32736" w:rsidRDefault="008012A9" w:rsidP="00D4181A">
            <w:pPr>
              <w:rPr>
                <w:b/>
              </w:rPr>
            </w:pPr>
            <w:r>
              <w:rPr>
                <w:b/>
              </w:rPr>
              <w:t>Maths: Number</w:t>
            </w:r>
          </w:p>
        </w:tc>
        <w:tc>
          <w:tcPr>
            <w:tcW w:w="1803" w:type="dxa"/>
            <w:shd w:val="clear" w:color="auto" w:fill="00B0F0"/>
          </w:tcPr>
          <w:p w:rsidR="008012A9" w:rsidRDefault="008012A9" w:rsidP="00C32736">
            <w:pPr>
              <w:jc w:val="center"/>
            </w:pPr>
            <w:r>
              <w:t>-</w:t>
            </w:r>
          </w:p>
        </w:tc>
        <w:tc>
          <w:tcPr>
            <w:tcW w:w="1803" w:type="dxa"/>
            <w:shd w:val="clear" w:color="auto" w:fill="FFFF00"/>
          </w:tcPr>
          <w:p w:rsidR="008012A9" w:rsidRDefault="008012A9" w:rsidP="00C32736">
            <w:pPr>
              <w:jc w:val="center"/>
            </w:pPr>
            <w:r>
              <w:t>5 (55%)</w:t>
            </w:r>
          </w:p>
        </w:tc>
        <w:tc>
          <w:tcPr>
            <w:tcW w:w="1804" w:type="dxa"/>
            <w:shd w:val="clear" w:color="auto" w:fill="00B050"/>
          </w:tcPr>
          <w:p w:rsidR="008012A9" w:rsidRDefault="008012A9" w:rsidP="00C32736">
            <w:pPr>
              <w:jc w:val="center"/>
            </w:pPr>
            <w:r>
              <w:t>3 (33%)</w:t>
            </w:r>
          </w:p>
        </w:tc>
        <w:tc>
          <w:tcPr>
            <w:tcW w:w="1804" w:type="dxa"/>
            <w:shd w:val="clear" w:color="auto" w:fill="7030A0"/>
          </w:tcPr>
          <w:p w:rsidR="008012A9" w:rsidRDefault="008012A9" w:rsidP="00C32736">
            <w:pPr>
              <w:jc w:val="center"/>
            </w:pPr>
            <w:r>
              <w:t>1 (11%)</w:t>
            </w:r>
          </w:p>
        </w:tc>
      </w:tr>
      <w:tr w:rsidR="008012A9" w:rsidTr="008012A9">
        <w:tc>
          <w:tcPr>
            <w:tcW w:w="1802" w:type="dxa"/>
          </w:tcPr>
          <w:p w:rsidR="008012A9" w:rsidRPr="00C32736" w:rsidRDefault="008012A9" w:rsidP="00D4181A">
            <w:pPr>
              <w:rPr>
                <w:b/>
              </w:rPr>
            </w:pPr>
            <w:r>
              <w:rPr>
                <w:b/>
              </w:rPr>
              <w:t>Maths: SSM</w:t>
            </w:r>
          </w:p>
        </w:tc>
        <w:tc>
          <w:tcPr>
            <w:tcW w:w="1803" w:type="dxa"/>
            <w:shd w:val="clear" w:color="auto" w:fill="00B0F0"/>
          </w:tcPr>
          <w:p w:rsidR="008012A9" w:rsidRDefault="008012A9" w:rsidP="00C32736">
            <w:pPr>
              <w:jc w:val="center"/>
            </w:pPr>
            <w:r>
              <w:t>5 (55%)</w:t>
            </w:r>
          </w:p>
        </w:tc>
        <w:tc>
          <w:tcPr>
            <w:tcW w:w="1803" w:type="dxa"/>
            <w:shd w:val="clear" w:color="auto" w:fill="FFFF00"/>
          </w:tcPr>
          <w:p w:rsidR="008012A9" w:rsidRDefault="008012A9" w:rsidP="00C32736">
            <w:pPr>
              <w:jc w:val="center"/>
            </w:pPr>
            <w:r>
              <w:t>1 (11%)</w:t>
            </w:r>
          </w:p>
        </w:tc>
        <w:tc>
          <w:tcPr>
            <w:tcW w:w="1804" w:type="dxa"/>
            <w:shd w:val="clear" w:color="auto" w:fill="00B050"/>
          </w:tcPr>
          <w:p w:rsidR="008012A9" w:rsidRDefault="008012A9" w:rsidP="00C32736">
            <w:pPr>
              <w:jc w:val="center"/>
            </w:pPr>
            <w:r>
              <w:t>3 (33%)</w:t>
            </w:r>
          </w:p>
        </w:tc>
        <w:tc>
          <w:tcPr>
            <w:tcW w:w="1804" w:type="dxa"/>
            <w:shd w:val="clear" w:color="auto" w:fill="7030A0"/>
          </w:tcPr>
          <w:p w:rsidR="008012A9" w:rsidRDefault="008012A9" w:rsidP="00C32736">
            <w:pPr>
              <w:jc w:val="center"/>
            </w:pPr>
            <w:r>
              <w:t>-</w:t>
            </w:r>
          </w:p>
        </w:tc>
      </w:tr>
    </w:tbl>
    <w:p w:rsidR="0083356C" w:rsidRDefault="0083356C" w:rsidP="00D4181A"/>
    <w:p w:rsidR="00C32736" w:rsidRDefault="00146B3E" w:rsidP="00C32736">
      <w:pPr>
        <w:pStyle w:val="ListParagraph"/>
        <w:numPr>
          <w:ilvl w:val="0"/>
          <w:numId w:val="3"/>
        </w:numPr>
      </w:pPr>
      <w:r>
        <w:t>Assuming that p</w:t>
      </w:r>
      <w:r w:rsidR="00415888">
        <w:t>rogress</w:t>
      </w:r>
      <w:r>
        <w:t xml:space="preserve"> continued at the same rate for the period of closure, </w:t>
      </w:r>
      <w:r w:rsidR="00415888">
        <w:t xml:space="preserve">Year 7 pupils in reading, number and shape, space &amp; measure is </w:t>
      </w:r>
      <w:r w:rsidR="00415888" w:rsidRPr="00415888">
        <w:rPr>
          <w:b/>
        </w:rPr>
        <w:t>good</w:t>
      </w:r>
      <w:r w:rsidR="00415888">
        <w:t xml:space="preserve">, demonstrating the effective use of Year 7 Catch </w:t>
      </w:r>
      <w:proofErr w:type="gramStart"/>
      <w:r w:rsidR="00415888">
        <w:t>Up</w:t>
      </w:r>
      <w:proofErr w:type="gramEnd"/>
      <w:r w:rsidR="00415888">
        <w:t xml:space="preserve"> Premium at New Siblands. </w:t>
      </w:r>
    </w:p>
    <w:p w:rsidR="00146B3E" w:rsidRDefault="00146B3E" w:rsidP="00C32736">
      <w:pPr>
        <w:pStyle w:val="ListParagraph"/>
        <w:numPr>
          <w:ilvl w:val="0"/>
          <w:numId w:val="3"/>
        </w:numPr>
      </w:pPr>
      <w:r>
        <w:t xml:space="preserve">New targets for Maths: SSM were introduced half way through the three month assessment period so pupils were new to these targets and were not able to move from maintaining to emerging. </w:t>
      </w:r>
    </w:p>
    <w:p w:rsidR="00415888" w:rsidRDefault="00415888" w:rsidP="00C32736">
      <w:pPr>
        <w:pStyle w:val="ListParagraph"/>
        <w:numPr>
          <w:ilvl w:val="0"/>
          <w:numId w:val="3"/>
        </w:numPr>
      </w:pPr>
      <w:r>
        <w:t xml:space="preserve">However, the cohort of learners is small and is not statistically significant. </w:t>
      </w:r>
    </w:p>
    <w:p w:rsidR="00415888" w:rsidRDefault="00415888" w:rsidP="00415888">
      <w:pPr>
        <w:ind w:left="360"/>
      </w:pPr>
    </w:p>
    <w:p w:rsidR="00D4181A" w:rsidRDefault="00D4181A"/>
    <w:sectPr w:rsidR="00D418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E2" w:rsidRDefault="00363FE2" w:rsidP="00363FE2">
      <w:pPr>
        <w:spacing w:after="0" w:line="240" w:lineRule="auto"/>
      </w:pPr>
      <w:r>
        <w:separator/>
      </w:r>
    </w:p>
  </w:endnote>
  <w:endnote w:type="continuationSeparator" w:id="0">
    <w:p w:rsidR="00363FE2" w:rsidRDefault="00363FE2" w:rsidP="0036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278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FE2" w:rsidRDefault="00363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FE2" w:rsidRDefault="0036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E2" w:rsidRDefault="00363FE2" w:rsidP="00363FE2">
      <w:pPr>
        <w:spacing w:after="0" w:line="240" w:lineRule="auto"/>
      </w:pPr>
      <w:r>
        <w:separator/>
      </w:r>
    </w:p>
  </w:footnote>
  <w:footnote w:type="continuationSeparator" w:id="0">
    <w:p w:rsidR="00363FE2" w:rsidRDefault="00363FE2" w:rsidP="0036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E2" w:rsidRDefault="00363FE2">
    <w:pPr>
      <w:pStyle w:val="Header"/>
    </w:pPr>
    <w:r>
      <w:t xml:space="preserve">New Siblands </w:t>
    </w:r>
    <w:r w:rsidR="00146B3E">
      <w:t>Year 7 Catch Up Premium September 2019 – March 2020</w:t>
    </w:r>
  </w:p>
  <w:p w:rsidR="00363FE2" w:rsidRDefault="0036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C"/>
    <w:multiLevelType w:val="hybridMultilevel"/>
    <w:tmpl w:val="3582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3EE"/>
    <w:multiLevelType w:val="hybridMultilevel"/>
    <w:tmpl w:val="F890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2E9"/>
    <w:multiLevelType w:val="multilevel"/>
    <w:tmpl w:val="646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8786D"/>
    <w:multiLevelType w:val="multilevel"/>
    <w:tmpl w:val="860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E06E2"/>
    <w:multiLevelType w:val="multilevel"/>
    <w:tmpl w:val="87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D"/>
    <w:rsid w:val="00013F5D"/>
    <w:rsid w:val="00014012"/>
    <w:rsid w:val="00032F2F"/>
    <w:rsid w:val="00107D52"/>
    <w:rsid w:val="00136AD8"/>
    <w:rsid w:val="00146B3E"/>
    <w:rsid w:val="00185D72"/>
    <w:rsid w:val="002427FB"/>
    <w:rsid w:val="002D02AB"/>
    <w:rsid w:val="00316024"/>
    <w:rsid w:val="00363FE2"/>
    <w:rsid w:val="003F1A2D"/>
    <w:rsid w:val="00415888"/>
    <w:rsid w:val="00602B8C"/>
    <w:rsid w:val="00751ED6"/>
    <w:rsid w:val="008012A9"/>
    <w:rsid w:val="0083356C"/>
    <w:rsid w:val="00957B7F"/>
    <w:rsid w:val="00A70C0A"/>
    <w:rsid w:val="00AD5E8F"/>
    <w:rsid w:val="00BF0521"/>
    <w:rsid w:val="00C262F5"/>
    <w:rsid w:val="00C32736"/>
    <w:rsid w:val="00C475E2"/>
    <w:rsid w:val="00D4181A"/>
    <w:rsid w:val="00D96263"/>
    <w:rsid w:val="00E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AC25"/>
  <w15:chartTrackingRefBased/>
  <w15:docId w15:val="{D1E8DB3A-7443-4DF4-99D3-378EB6E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0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56C"/>
    <w:pPr>
      <w:ind w:left="720"/>
      <w:contextualSpacing/>
    </w:pPr>
  </w:style>
  <w:style w:type="table" w:styleId="TableGrid">
    <w:name w:val="Table Grid"/>
    <w:basedOn w:val="TableNormal"/>
    <w:uiPriority w:val="39"/>
    <w:rsid w:val="00C3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E2"/>
  </w:style>
  <w:style w:type="paragraph" w:styleId="Footer">
    <w:name w:val="footer"/>
    <w:basedOn w:val="Normal"/>
    <w:link w:val="FooterChar"/>
    <w:uiPriority w:val="99"/>
    <w:unhideWhenUsed/>
    <w:rsid w:val="0036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E2"/>
  </w:style>
  <w:style w:type="paragraph" w:styleId="BalloonText">
    <w:name w:val="Balloon Text"/>
    <w:basedOn w:val="Normal"/>
    <w:link w:val="BalloonTextChar"/>
    <w:uiPriority w:val="99"/>
    <w:semiHidden/>
    <w:unhideWhenUsed/>
    <w:rsid w:val="0080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Year 7 Catch Up Premium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23-4230-8AEF-A2DB0EE90C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23-4230-8AEF-A2DB0EE90C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23-4230-8AEF-A2DB0EE90C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23-4230-8AEF-A2DB0EE90C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23-4230-8AEF-A2DB0EE90CCB}"/>
              </c:ext>
            </c:extLst>
          </c:dPt>
          <c:cat>
            <c:strRef>
              <c:f>Sheet1!$A$3:$A$7</c:f>
              <c:strCache>
                <c:ptCount val="5"/>
                <c:pt idx="0">
                  <c:v>See &amp; Learn Resources</c:v>
                </c:pt>
                <c:pt idx="1">
                  <c:v>OOR Resources</c:v>
                </c:pt>
                <c:pt idx="2">
                  <c:v>Literacy Resources</c:v>
                </c:pt>
                <c:pt idx="3">
                  <c:v>Reading Schemes</c:v>
                </c:pt>
                <c:pt idx="4">
                  <c:v>Numicon Resources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1000</c:v>
                </c:pt>
                <c:pt idx="1">
                  <c:v>1500</c:v>
                </c:pt>
                <c:pt idx="2">
                  <c:v>1500</c:v>
                </c:pt>
                <c:pt idx="3">
                  <c:v>500</c:v>
                </c:pt>
                <c:pt idx="4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23-4230-8AEF-A2DB0EE90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Windsor</dc:creator>
  <cp:keywords/>
  <dc:description/>
  <cp:lastModifiedBy>Angela Windsor</cp:lastModifiedBy>
  <cp:revision>6</cp:revision>
  <cp:lastPrinted>2020-05-27T10:48:00Z</cp:lastPrinted>
  <dcterms:created xsi:type="dcterms:W3CDTF">2019-09-25T08:52:00Z</dcterms:created>
  <dcterms:modified xsi:type="dcterms:W3CDTF">2020-05-27T11:26:00Z</dcterms:modified>
</cp:coreProperties>
</file>