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45" w:rsidRDefault="003F1A2D">
      <w:pPr>
        <w:rPr>
          <w:b/>
        </w:rPr>
      </w:pPr>
      <w:r w:rsidRPr="003F1A2D">
        <w:rPr>
          <w:b/>
        </w:rPr>
        <w:t>Primary Sports Funding</w:t>
      </w:r>
    </w:p>
    <w:p w:rsidR="003F1A2D" w:rsidRDefault="003F1A2D">
      <w:r w:rsidRPr="003F1A2D">
        <w:t>The value of Primary Sports Funding for academic year 201</w:t>
      </w:r>
      <w:r w:rsidR="00730273">
        <w:t>9-20</w:t>
      </w:r>
      <w:r w:rsidRPr="003F1A2D">
        <w:t xml:space="preserve"> </w:t>
      </w:r>
      <w:r w:rsidRPr="003C0ECF">
        <w:t xml:space="preserve">is </w:t>
      </w:r>
      <w:r w:rsidR="000B5D0B" w:rsidRPr="000B5D0B">
        <w:t>£16,660</w:t>
      </w:r>
      <w:r w:rsidR="000B5D0B">
        <w:t>.</w:t>
      </w:r>
      <w:bookmarkStart w:id="0" w:name="_GoBack"/>
      <w:bookmarkEnd w:id="0"/>
    </w:p>
    <w:p w:rsidR="0083356C" w:rsidRPr="0083356C" w:rsidRDefault="0083356C">
      <w:pPr>
        <w:rPr>
          <w:b/>
        </w:rPr>
      </w:pPr>
      <w:r>
        <w:rPr>
          <w:b/>
        </w:rPr>
        <w:t>Rationale</w:t>
      </w:r>
    </w:p>
    <w:p w:rsidR="0083356C" w:rsidRPr="00316024" w:rsidRDefault="00316024" w:rsidP="0083356C">
      <w:pPr>
        <w:shd w:val="clear" w:color="auto" w:fill="FFFFFF"/>
        <w:spacing w:before="300" w:after="300" w:line="240" w:lineRule="auto"/>
      </w:pPr>
      <w:r w:rsidRPr="00316024">
        <w:t>Schools must use the funding to make additional and sustainable improvements to the quality of physical education (PE), physical activity and sport you offer.</w:t>
      </w:r>
      <w:r w:rsidR="00D45681">
        <w:t xml:space="preserve"> </w:t>
      </w:r>
      <w:r w:rsidR="0083356C">
        <w:t>This means that we should use the premium for the following</w:t>
      </w:r>
      <w:r w:rsidR="0083356C" w:rsidRPr="00316024">
        <w:t>:</w:t>
      </w:r>
    </w:p>
    <w:p w:rsidR="0083356C" w:rsidRPr="00316024" w:rsidRDefault="0083356C" w:rsidP="0083356C">
      <w:pPr>
        <w:numPr>
          <w:ilvl w:val="0"/>
          <w:numId w:val="1"/>
        </w:numPr>
        <w:shd w:val="clear" w:color="auto" w:fill="FFFFFF"/>
        <w:spacing w:after="75" w:line="240" w:lineRule="auto"/>
        <w:ind w:left="300"/>
      </w:pPr>
      <w:r w:rsidRPr="00316024">
        <w:t>develop or add to the PE, physical activity and sport activities that your school already offers</w:t>
      </w:r>
    </w:p>
    <w:p w:rsidR="0083356C" w:rsidRDefault="0083356C" w:rsidP="0083356C">
      <w:pPr>
        <w:numPr>
          <w:ilvl w:val="0"/>
          <w:numId w:val="1"/>
        </w:numPr>
        <w:shd w:val="clear" w:color="auto" w:fill="FFFFFF"/>
        <w:spacing w:after="75" w:line="240" w:lineRule="auto"/>
        <w:ind w:left="300"/>
      </w:pPr>
      <w:r w:rsidRPr="00316024">
        <w:t>build capacity and capability within the school to ensure that improvements made now will benefit pupils joining the school in future years</w:t>
      </w:r>
    </w:p>
    <w:p w:rsidR="0083356C" w:rsidRDefault="00BF0521" w:rsidP="00316024">
      <w:pPr>
        <w:shd w:val="clear" w:color="auto" w:fill="FFFFFF"/>
        <w:spacing w:before="300" w:after="300" w:line="240" w:lineRule="auto"/>
        <w:rPr>
          <w:b/>
        </w:rPr>
      </w:pPr>
      <w:r>
        <w:rPr>
          <w:b/>
        </w:rPr>
        <w:t>Aims</w:t>
      </w:r>
    </w:p>
    <w:p w:rsidR="0083356C" w:rsidRDefault="0083356C" w:rsidP="0083356C">
      <w:pPr>
        <w:pStyle w:val="ListParagraph"/>
        <w:numPr>
          <w:ilvl w:val="0"/>
          <w:numId w:val="2"/>
        </w:numPr>
        <w:shd w:val="clear" w:color="auto" w:fill="FFFFFF"/>
        <w:spacing w:before="300" w:after="300" w:line="240" w:lineRule="auto"/>
      </w:pPr>
      <w:r>
        <w:t>Primary pupils have access to rebound therapy</w:t>
      </w:r>
      <w:r w:rsidR="00BF0521">
        <w:t>, a targeted specialist provision</w:t>
      </w:r>
    </w:p>
    <w:p w:rsidR="0083356C" w:rsidRDefault="0083356C" w:rsidP="0083356C">
      <w:pPr>
        <w:pStyle w:val="ListParagraph"/>
        <w:numPr>
          <w:ilvl w:val="0"/>
          <w:numId w:val="2"/>
        </w:numPr>
        <w:shd w:val="clear" w:color="auto" w:fill="FFFFFF"/>
        <w:spacing w:before="300" w:after="300" w:line="240" w:lineRule="auto"/>
      </w:pPr>
      <w:r>
        <w:t>Sports premium enriches the PE curriculum for primary pupils</w:t>
      </w:r>
      <w:r w:rsidR="00BF0521">
        <w:t xml:space="preserve"> </w:t>
      </w:r>
    </w:p>
    <w:p w:rsidR="00BF0521" w:rsidRPr="00D75D9B" w:rsidRDefault="00BF0521" w:rsidP="0083356C">
      <w:pPr>
        <w:pStyle w:val="ListParagraph"/>
        <w:numPr>
          <w:ilvl w:val="0"/>
          <w:numId w:val="2"/>
        </w:numPr>
        <w:shd w:val="clear" w:color="auto" w:fill="FFFFFF"/>
        <w:spacing w:before="300" w:after="300" w:line="240" w:lineRule="auto"/>
      </w:pPr>
      <w:r w:rsidRPr="00D75D9B">
        <w:t xml:space="preserve">The works of the sports specialist augments the PE curriculum for primary aged pupils and readies them for continuing to be active in the secondary phase. </w:t>
      </w:r>
    </w:p>
    <w:p w:rsidR="0083356C" w:rsidRDefault="0083356C" w:rsidP="0083356C">
      <w:pPr>
        <w:pStyle w:val="ListParagraph"/>
        <w:numPr>
          <w:ilvl w:val="0"/>
          <w:numId w:val="2"/>
        </w:numPr>
        <w:shd w:val="clear" w:color="auto" w:fill="FFFFFF"/>
        <w:spacing w:before="300" w:after="300" w:line="240" w:lineRule="auto"/>
      </w:pPr>
      <w:r>
        <w:t>The works of the sports specialist supports primary pupils EHCP outcomes for Physical Development</w:t>
      </w:r>
      <w:r w:rsidR="00BF0521">
        <w:t xml:space="preserve"> </w:t>
      </w:r>
    </w:p>
    <w:p w:rsidR="00BF0521" w:rsidRDefault="00BF0521" w:rsidP="0083356C">
      <w:pPr>
        <w:pStyle w:val="ListParagraph"/>
        <w:numPr>
          <w:ilvl w:val="0"/>
          <w:numId w:val="2"/>
        </w:numPr>
        <w:shd w:val="clear" w:color="auto" w:fill="FFFFFF"/>
        <w:spacing w:before="300" w:after="300" w:line="240" w:lineRule="auto"/>
      </w:pPr>
      <w:r>
        <w:t>Sports specialist models the delivery of PE sessions enabling class teams to develop their PE delivery skills to build capacity for the future</w:t>
      </w:r>
    </w:p>
    <w:p w:rsidR="00BF0521" w:rsidRDefault="00BF0521" w:rsidP="00BF0521">
      <w:pPr>
        <w:shd w:val="clear" w:color="auto" w:fill="FFFFFF"/>
        <w:spacing w:before="300" w:after="300" w:line="240" w:lineRule="auto"/>
        <w:rPr>
          <w:b/>
        </w:rPr>
      </w:pPr>
      <w:r>
        <w:rPr>
          <w:b/>
        </w:rPr>
        <w:t>Success Criteria</w:t>
      </w:r>
    </w:p>
    <w:p w:rsidR="00BF0521" w:rsidRDefault="00BF0521" w:rsidP="00BF0521">
      <w:pPr>
        <w:pStyle w:val="ListParagraph"/>
        <w:numPr>
          <w:ilvl w:val="0"/>
          <w:numId w:val="3"/>
        </w:numPr>
        <w:shd w:val="clear" w:color="auto" w:fill="FFFFFF"/>
        <w:spacing w:before="300" w:after="300" w:line="240" w:lineRule="auto"/>
      </w:pPr>
      <w:r>
        <w:t>Targeted primary pupils have regular time tabled rebound sessions</w:t>
      </w:r>
    </w:p>
    <w:p w:rsidR="00BF0521" w:rsidRPr="00D75D9B" w:rsidRDefault="00BF0521" w:rsidP="00D75D9B">
      <w:pPr>
        <w:pStyle w:val="ListParagraph"/>
        <w:numPr>
          <w:ilvl w:val="0"/>
          <w:numId w:val="3"/>
        </w:numPr>
        <w:shd w:val="clear" w:color="auto" w:fill="FFFFFF"/>
        <w:spacing w:before="300" w:after="300" w:line="240" w:lineRule="auto"/>
      </w:pPr>
      <w:r>
        <w:t xml:space="preserve">Primary pupils will experience additional activities such as; </w:t>
      </w:r>
      <w:r w:rsidR="00A70C0A">
        <w:t>off-</w:t>
      </w:r>
      <w:r>
        <w:t>site trips, tournaments and events, i</w:t>
      </w:r>
      <w:r w:rsidR="00D75D9B">
        <w:t>nclusion work with local schools</w:t>
      </w:r>
    </w:p>
    <w:p w:rsidR="00BF0521" w:rsidRDefault="00BF0521" w:rsidP="00BF0521">
      <w:pPr>
        <w:pStyle w:val="ListParagraph"/>
        <w:numPr>
          <w:ilvl w:val="0"/>
          <w:numId w:val="3"/>
        </w:numPr>
        <w:shd w:val="clear" w:color="auto" w:fill="FFFFFF"/>
        <w:spacing w:before="300" w:after="300" w:line="240" w:lineRule="auto"/>
      </w:pPr>
      <w:r w:rsidRPr="00BF0521">
        <w:t>Sports specialist interventions provide evidence of progress towards indiv</w:t>
      </w:r>
      <w:r>
        <w:t>idu</w:t>
      </w:r>
      <w:r w:rsidRPr="00BF0521">
        <w:t xml:space="preserve">al pupils Physical Development EHCP outcomes. </w:t>
      </w:r>
    </w:p>
    <w:p w:rsidR="00A70C0A" w:rsidRPr="00BF0521" w:rsidRDefault="00A70C0A" w:rsidP="00BF0521">
      <w:pPr>
        <w:pStyle w:val="ListParagraph"/>
        <w:numPr>
          <w:ilvl w:val="0"/>
          <w:numId w:val="3"/>
        </w:numPr>
        <w:shd w:val="clear" w:color="auto" w:fill="FFFFFF"/>
        <w:spacing w:before="300" w:after="300" w:line="240" w:lineRule="auto"/>
      </w:pPr>
      <w:r>
        <w:t xml:space="preserve">SLT observations and staff feedback shows increased subject knowledge and confidence in working with pupils in all phases during PE activities. </w:t>
      </w:r>
    </w:p>
    <w:p w:rsidR="003F1A2D" w:rsidRPr="00316024" w:rsidRDefault="003F1A2D">
      <w:pPr>
        <w:rPr>
          <w:b/>
        </w:rPr>
      </w:pPr>
      <w:r w:rsidRPr="00316024">
        <w:rPr>
          <w:b/>
        </w:rPr>
        <w:t xml:space="preserve">Jane Hawkes – Sports Specialist </w:t>
      </w:r>
      <w:r w:rsidR="00BF0521">
        <w:rPr>
          <w:b/>
        </w:rPr>
        <w:t>Time</w:t>
      </w:r>
    </w:p>
    <w:p w:rsidR="00A70C0A" w:rsidRDefault="00A70C0A">
      <w:r w:rsidRPr="00D75D9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240030</wp:posOffset>
            </wp:positionV>
            <wp:extent cx="4572000" cy="274320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3F1A2D" w:rsidRPr="00D75D9B">
        <w:t>£244.32 per day x 38 days = £9, 284.16</w:t>
      </w:r>
      <w:r w:rsidR="003F1A2D">
        <w:t xml:space="preserve"> per academic year</w:t>
      </w:r>
    </w:p>
    <w:p w:rsidR="00730273" w:rsidRDefault="00730273"/>
    <w:p w:rsidR="00730273" w:rsidRDefault="00730273"/>
    <w:p w:rsidR="00730273" w:rsidRDefault="00730273"/>
    <w:p w:rsidR="00730273" w:rsidRDefault="00730273"/>
    <w:p w:rsidR="00730273" w:rsidRDefault="00730273"/>
    <w:p w:rsidR="00730273" w:rsidRDefault="00730273"/>
    <w:p w:rsidR="00730273" w:rsidRDefault="00730273"/>
    <w:p w:rsidR="00F0601B" w:rsidRPr="00316024" w:rsidRDefault="00F0601B" w:rsidP="00F0601B">
      <w:pPr>
        <w:rPr>
          <w:b/>
        </w:rPr>
      </w:pPr>
      <w:r>
        <w:rPr>
          <w:b/>
        </w:rPr>
        <w:lastRenderedPageBreak/>
        <w:t>Resources</w:t>
      </w:r>
    </w:p>
    <w:p w:rsidR="00F0601B" w:rsidRPr="00F560C6" w:rsidRDefault="00F0601B" w:rsidP="00F0601B">
      <w:r w:rsidRPr="00F560C6">
        <w:t>Resources need to be updated and refreshed in order to deliver a stimulating and motivating</w:t>
      </w:r>
      <w:r>
        <w:t xml:space="preserve"> differentiated</w:t>
      </w:r>
      <w:r w:rsidRPr="00F560C6">
        <w:t xml:space="preserve"> curriculum. Updating resources help pupils to maintain engagement, commit new skills to long-term memory, transfer learnt skills to a new activity and access a heuristic curriculum. </w:t>
      </w:r>
    </w:p>
    <w:p w:rsidR="00F0601B" w:rsidRDefault="00F0601B" w:rsidP="00F0601B">
      <w:r w:rsidRPr="00F560C6">
        <w:t xml:space="preserve">Resource spending </w:t>
      </w:r>
      <w:r>
        <w:t xml:space="preserve">will go towards the items listed below. This is not an exhaustive list but shows the main expected areas of spending. </w:t>
      </w:r>
    </w:p>
    <w:p w:rsidR="00F0601B" w:rsidRDefault="00F0601B" w:rsidP="00F0601B">
      <w:pPr>
        <w:pStyle w:val="ListParagraph"/>
        <w:numPr>
          <w:ilvl w:val="0"/>
          <w:numId w:val="6"/>
        </w:numPr>
      </w:pPr>
      <w:r>
        <w:t>Sports day planning and preparation time</w:t>
      </w:r>
    </w:p>
    <w:p w:rsidR="00F0601B" w:rsidRDefault="00F0601B" w:rsidP="00F0601B">
      <w:pPr>
        <w:pStyle w:val="ListParagraph"/>
        <w:numPr>
          <w:ilvl w:val="0"/>
          <w:numId w:val="6"/>
        </w:numPr>
      </w:pPr>
      <w:r>
        <w:t>Sports day resources</w:t>
      </w:r>
    </w:p>
    <w:p w:rsidR="00F0601B" w:rsidRDefault="00F0601B" w:rsidP="00F0601B">
      <w:pPr>
        <w:pStyle w:val="ListParagraph"/>
        <w:numPr>
          <w:ilvl w:val="0"/>
          <w:numId w:val="6"/>
        </w:numPr>
      </w:pPr>
      <w:r>
        <w:t>Updating specialist PE resources and equipment</w:t>
      </w:r>
    </w:p>
    <w:p w:rsidR="00F0601B" w:rsidRDefault="00F0601B" w:rsidP="00F0601B">
      <w:pPr>
        <w:pStyle w:val="ListParagraph"/>
        <w:numPr>
          <w:ilvl w:val="0"/>
          <w:numId w:val="6"/>
        </w:numPr>
      </w:pPr>
      <w:r>
        <w:t xml:space="preserve">Maintaining apparatus safely </w:t>
      </w:r>
    </w:p>
    <w:p w:rsidR="00F0601B" w:rsidRPr="00F560C6" w:rsidRDefault="00F0601B" w:rsidP="00F0601B">
      <w:pPr>
        <w:pStyle w:val="ListParagraph"/>
        <w:numPr>
          <w:ilvl w:val="0"/>
          <w:numId w:val="6"/>
        </w:numPr>
      </w:pPr>
      <w:r>
        <w:t xml:space="preserve">Inter and intra tournament resources; including trips and associated costs. </w:t>
      </w:r>
    </w:p>
    <w:p w:rsidR="00DD6501" w:rsidRDefault="00DD6501">
      <w:pPr>
        <w:rPr>
          <w:b/>
        </w:rPr>
      </w:pPr>
      <w:r w:rsidRPr="00DD6501">
        <w:rPr>
          <w:b/>
        </w:rPr>
        <w:t>Impact</w:t>
      </w:r>
    </w:p>
    <w:p w:rsidR="002835E6" w:rsidRDefault="002835E6">
      <w:r>
        <w:t xml:space="preserve">Please note that progress was effected as school shut in March 2020 following a new assessment system being introduced in January 2020. </w:t>
      </w:r>
      <w:r w:rsidRPr="002835E6">
        <w:rPr>
          <w:b/>
          <w:u w:val="single"/>
        </w:rPr>
        <w:t>So the progress is measured on 3 months of data.</w:t>
      </w:r>
      <w:r>
        <w:t xml:space="preserve"> </w:t>
      </w:r>
    </w:p>
    <w:p w:rsidR="00DD6501" w:rsidRDefault="00DD6501">
      <w:r>
        <w:t>End of year progress information for KS1 and 2 for all</w:t>
      </w:r>
      <w:r w:rsidR="002835E6">
        <w:t xml:space="preserve"> areas of Physical and Sensory. </w:t>
      </w:r>
    </w:p>
    <w:p w:rsidR="0038618E" w:rsidRDefault="0038618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566"/>
        <w:gridCol w:w="1776"/>
      </w:tblGrid>
      <w:tr w:rsidR="0038618E" w:rsidTr="0038618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8E" w:rsidRDefault="0038618E">
            <w:pPr>
              <w:rPr>
                <w:b/>
              </w:rPr>
            </w:pPr>
            <w:r>
              <w:rPr>
                <w:b/>
              </w:rPr>
              <w:t>Belonging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8E" w:rsidRDefault="0038618E">
            <w:pPr>
              <w:jc w:val="center"/>
              <w:rPr>
                <w:b/>
              </w:rPr>
            </w:pPr>
            <w:r>
              <w:rPr>
                <w:b/>
              </w:rPr>
              <w:t>KS1 (5)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8E" w:rsidRDefault="0038618E">
            <w:pPr>
              <w:jc w:val="center"/>
              <w:rPr>
                <w:b/>
              </w:rPr>
            </w:pPr>
            <w:r>
              <w:rPr>
                <w:b/>
              </w:rPr>
              <w:t>KS2 (7)</w:t>
            </w:r>
          </w:p>
        </w:tc>
      </w:tr>
      <w:tr w:rsidR="0038618E" w:rsidTr="0038618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8618E" w:rsidRDefault="0038618E">
            <w:r>
              <w:t>Maintaining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8618E" w:rsidRDefault="0038618E">
            <w:pPr>
              <w:jc w:val="center"/>
            </w:pPr>
            <w: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8618E" w:rsidRDefault="0038618E">
            <w:pPr>
              <w:jc w:val="center"/>
            </w:pPr>
            <w:r>
              <w:t>0</w:t>
            </w:r>
          </w:p>
        </w:tc>
      </w:tr>
      <w:tr w:rsidR="0038618E" w:rsidTr="0038618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618E" w:rsidRDefault="0038618E">
            <w:r>
              <w:t>Emerging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618E" w:rsidRDefault="0038618E">
            <w:pPr>
              <w:jc w:val="center"/>
            </w:pPr>
            <w: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618E" w:rsidRDefault="0038618E">
            <w:pPr>
              <w:jc w:val="center"/>
            </w:pPr>
            <w:r>
              <w:t>14 (1)</w:t>
            </w:r>
          </w:p>
        </w:tc>
      </w:tr>
      <w:tr w:rsidR="0038618E" w:rsidTr="0038618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618E" w:rsidRDefault="0038618E">
            <w:r>
              <w:t>Expected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618E" w:rsidRDefault="0038618E">
            <w:pPr>
              <w:jc w:val="center"/>
            </w:pPr>
            <w:r>
              <w:t>60 (3)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618E" w:rsidRDefault="0038618E">
            <w:pPr>
              <w:jc w:val="center"/>
            </w:pPr>
            <w:r>
              <w:t>43 (3)</w:t>
            </w:r>
          </w:p>
        </w:tc>
      </w:tr>
      <w:tr w:rsidR="0038618E" w:rsidTr="0038618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8618E" w:rsidRDefault="0038618E">
            <w:r>
              <w:t>Exceeding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8618E" w:rsidRDefault="0038618E">
            <w:pPr>
              <w:jc w:val="center"/>
            </w:pPr>
            <w:r>
              <w:t>40 (2)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8618E" w:rsidRDefault="0038618E">
            <w:pPr>
              <w:jc w:val="center"/>
            </w:pPr>
            <w:r>
              <w:t>43 (3)</w:t>
            </w:r>
          </w:p>
        </w:tc>
      </w:tr>
    </w:tbl>
    <w:p w:rsidR="00DD6501" w:rsidRDefault="00DD6501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566"/>
        <w:gridCol w:w="1776"/>
      </w:tblGrid>
      <w:tr w:rsidR="0038618E" w:rsidTr="0038618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8E" w:rsidRDefault="0038618E">
            <w:pPr>
              <w:rPr>
                <w:b/>
              </w:rPr>
            </w:pPr>
            <w:r>
              <w:rPr>
                <w:b/>
              </w:rPr>
              <w:t>Achievement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8E" w:rsidRDefault="0038618E">
            <w:pPr>
              <w:jc w:val="center"/>
              <w:rPr>
                <w:b/>
              </w:rPr>
            </w:pPr>
            <w:r>
              <w:rPr>
                <w:b/>
              </w:rPr>
              <w:t>KS1 (11)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8E" w:rsidRDefault="0038618E">
            <w:pPr>
              <w:jc w:val="center"/>
              <w:rPr>
                <w:b/>
              </w:rPr>
            </w:pPr>
            <w:r>
              <w:rPr>
                <w:b/>
              </w:rPr>
              <w:t>KS2 (44)</w:t>
            </w:r>
          </w:p>
        </w:tc>
      </w:tr>
      <w:tr w:rsidR="0038618E" w:rsidTr="0038618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8618E" w:rsidRDefault="0038618E">
            <w:r>
              <w:t>Maintaining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8618E" w:rsidRDefault="0038618E">
            <w:pPr>
              <w:jc w:val="center"/>
            </w:pPr>
            <w: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8618E" w:rsidRDefault="0038618E">
            <w:pPr>
              <w:jc w:val="center"/>
            </w:pPr>
            <w:r>
              <w:t>0</w:t>
            </w:r>
          </w:p>
        </w:tc>
      </w:tr>
      <w:tr w:rsidR="0038618E" w:rsidTr="0038618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618E" w:rsidRDefault="0038618E">
            <w:r>
              <w:t>Emerging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618E" w:rsidRDefault="0038618E">
            <w:pPr>
              <w:jc w:val="center"/>
            </w:pPr>
            <w:r>
              <w:t>18 (2)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618E" w:rsidRDefault="0038618E">
            <w:pPr>
              <w:jc w:val="center"/>
            </w:pPr>
            <w:r>
              <w:t>20 (9)</w:t>
            </w:r>
          </w:p>
        </w:tc>
      </w:tr>
      <w:tr w:rsidR="0038618E" w:rsidTr="0038618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618E" w:rsidRDefault="0038618E">
            <w:r>
              <w:t>Expected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618E" w:rsidRDefault="0038618E">
            <w:pPr>
              <w:jc w:val="center"/>
            </w:pPr>
            <w:r>
              <w:t>45 (5)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618E" w:rsidRDefault="0038618E">
            <w:pPr>
              <w:jc w:val="center"/>
            </w:pPr>
            <w:r>
              <w:t>43 (19)</w:t>
            </w:r>
          </w:p>
        </w:tc>
      </w:tr>
      <w:tr w:rsidR="0038618E" w:rsidTr="0038618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8618E" w:rsidRDefault="0038618E">
            <w:r>
              <w:t>Exceeding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8618E" w:rsidRDefault="0038618E">
            <w:pPr>
              <w:jc w:val="center"/>
            </w:pPr>
            <w:r>
              <w:t>36 (4)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8618E" w:rsidRDefault="0038618E">
            <w:pPr>
              <w:jc w:val="center"/>
            </w:pPr>
            <w:r>
              <w:t>36 (16)</w:t>
            </w:r>
          </w:p>
        </w:tc>
      </w:tr>
    </w:tbl>
    <w:p w:rsidR="0038618E" w:rsidRDefault="0038618E">
      <w:pPr>
        <w:rPr>
          <w:b/>
        </w:rPr>
      </w:pPr>
    </w:p>
    <w:p w:rsidR="0038618E" w:rsidRDefault="0038618E">
      <w:pPr>
        <w:rPr>
          <w:b/>
        </w:rPr>
      </w:pPr>
    </w:p>
    <w:p w:rsidR="00DD6501" w:rsidRDefault="00DD6501" w:rsidP="00DD6501">
      <w:pPr>
        <w:pStyle w:val="ListParagraph"/>
        <w:numPr>
          <w:ilvl w:val="0"/>
          <w:numId w:val="4"/>
        </w:numPr>
      </w:pPr>
      <w:r>
        <w:t xml:space="preserve">Progress is </w:t>
      </w:r>
      <w:r w:rsidRPr="00DD6501">
        <w:rPr>
          <w:b/>
        </w:rPr>
        <w:t>good</w:t>
      </w:r>
      <w:r w:rsidR="00004EBB">
        <w:rPr>
          <w:b/>
        </w:rPr>
        <w:t xml:space="preserve"> or better</w:t>
      </w:r>
      <w:r>
        <w:t xml:space="preserve"> for all areas of Physical Develop</w:t>
      </w:r>
      <w:r w:rsidR="008D11CD">
        <w:t xml:space="preserve">ment across Key Stages 1 and 2, demonstrating that the impact of Primary Sports Funding at New Siblands is effective. </w:t>
      </w:r>
    </w:p>
    <w:p w:rsidR="00DD6501" w:rsidRDefault="00DD6501" w:rsidP="00DD6501">
      <w:pPr>
        <w:pStyle w:val="ListParagraph"/>
        <w:numPr>
          <w:ilvl w:val="0"/>
          <w:numId w:val="4"/>
        </w:numPr>
      </w:pPr>
      <w:r>
        <w:t xml:space="preserve">In order for Key Stage 1 and 2 data to show outstanding progress, more learners will need to be working at exceeding level.  </w:t>
      </w:r>
    </w:p>
    <w:p w:rsidR="00004EBB" w:rsidRDefault="00004EBB" w:rsidP="00DD6501">
      <w:pPr>
        <w:pStyle w:val="ListParagraph"/>
        <w:numPr>
          <w:ilvl w:val="0"/>
          <w:numId w:val="4"/>
        </w:numPr>
      </w:pPr>
      <w:r>
        <w:t xml:space="preserve">Note that there are no learners on the celebration pathway in KS1 and 2. </w:t>
      </w:r>
    </w:p>
    <w:sectPr w:rsidR="00004E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18" w:rsidRDefault="007B0518" w:rsidP="007B0518">
      <w:pPr>
        <w:spacing w:after="0" w:line="240" w:lineRule="auto"/>
      </w:pPr>
      <w:r>
        <w:separator/>
      </w:r>
    </w:p>
  </w:endnote>
  <w:endnote w:type="continuationSeparator" w:id="0">
    <w:p w:rsidR="007B0518" w:rsidRDefault="007B0518" w:rsidP="007B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166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518" w:rsidRDefault="007B05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518" w:rsidRDefault="007B0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18" w:rsidRDefault="007B0518" w:rsidP="007B0518">
      <w:pPr>
        <w:spacing w:after="0" w:line="240" w:lineRule="auto"/>
      </w:pPr>
      <w:r>
        <w:separator/>
      </w:r>
    </w:p>
  </w:footnote>
  <w:footnote w:type="continuationSeparator" w:id="0">
    <w:p w:rsidR="007B0518" w:rsidRDefault="007B0518" w:rsidP="007B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18" w:rsidRDefault="007B0518">
    <w:pPr>
      <w:pStyle w:val="Header"/>
    </w:pPr>
    <w:r>
      <w:t>New Sibland</w:t>
    </w:r>
    <w:r w:rsidR="00004EBB">
      <w:t xml:space="preserve">s Primary Sports Funding September 2019 – March 20 </w:t>
    </w:r>
  </w:p>
  <w:p w:rsidR="007B0518" w:rsidRDefault="007B0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19C"/>
    <w:multiLevelType w:val="hybridMultilevel"/>
    <w:tmpl w:val="3582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5386"/>
    <w:multiLevelType w:val="hybridMultilevel"/>
    <w:tmpl w:val="141A8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23EE"/>
    <w:multiLevelType w:val="hybridMultilevel"/>
    <w:tmpl w:val="1090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B42E9"/>
    <w:multiLevelType w:val="multilevel"/>
    <w:tmpl w:val="6468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0E434C"/>
    <w:multiLevelType w:val="hybridMultilevel"/>
    <w:tmpl w:val="E4BA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7035"/>
    <w:multiLevelType w:val="hybridMultilevel"/>
    <w:tmpl w:val="EAC6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2D"/>
    <w:rsid w:val="00004EBB"/>
    <w:rsid w:val="00013F5D"/>
    <w:rsid w:val="00045F55"/>
    <w:rsid w:val="000B5D0B"/>
    <w:rsid w:val="00136AD8"/>
    <w:rsid w:val="00185D72"/>
    <w:rsid w:val="002427FB"/>
    <w:rsid w:val="002835E6"/>
    <w:rsid w:val="00316024"/>
    <w:rsid w:val="0038618E"/>
    <w:rsid w:val="003C0ECF"/>
    <w:rsid w:val="003F1A2D"/>
    <w:rsid w:val="00730273"/>
    <w:rsid w:val="007B0518"/>
    <w:rsid w:val="0083356C"/>
    <w:rsid w:val="008D11CD"/>
    <w:rsid w:val="00A70C0A"/>
    <w:rsid w:val="00BF0521"/>
    <w:rsid w:val="00C475E2"/>
    <w:rsid w:val="00D4181A"/>
    <w:rsid w:val="00D45681"/>
    <w:rsid w:val="00D75D9B"/>
    <w:rsid w:val="00DD6501"/>
    <w:rsid w:val="00EA51B5"/>
    <w:rsid w:val="00F0601B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5135"/>
  <w15:chartTrackingRefBased/>
  <w15:docId w15:val="{D1E8DB3A-7443-4DF4-99D3-378EB6ED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6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60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356C"/>
    <w:pPr>
      <w:ind w:left="720"/>
      <w:contextualSpacing/>
    </w:pPr>
  </w:style>
  <w:style w:type="table" w:styleId="TableGrid">
    <w:name w:val="Table Grid"/>
    <w:basedOn w:val="TableNormal"/>
    <w:uiPriority w:val="39"/>
    <w:rsid w:val="00DD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18"/>
  </w:style>
  <w:style w:type="paragraph" w:styleId="Footer">
    <w:name w:val="footer"/>
    <w:basedOn w:val="Normal"/>
    <w:link w:val="FooterChar"/>
    <w:uiPriority w:val="99"/>
    <w:unhideWhenUsed/>
    <w:rsid w:val="007B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18"/>
  </w:style>
  <w:style w:type="paragraph" w:styleId="BalloonText">
    <w:name w:val="Balloon Text"/>
    <w:basedOn w:val="Normal"/>
    <w:link w:val="BalloonTextChar"/>
    <w:uiPriority w:val="99"/>
    <w:semiHidden/>
    <w:unhideWhenUsed/>
    <w:rsid w:val="0038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dsora\Documents\SENCo%202018-19\PP%20SP%20Lis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Primary Sports Premium Allocation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400-4365-9DBB-648BB54BC7D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400-4365-9DBB-648BB54BC7D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400-4365-9DBB-648BB54BC7D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400-4365-9DBB-648BB54BC7D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400-4365-9DBB-648BB54BC7D8}"/>
              </c:ext>
            </c:extLst>
          </c:dPt>
          <c:cat>
            <c:strRef>
              <c:f>'Jane H Allocation'!$A$4:$A$8</c:f>
              <c:strCache>
                <c:ptCount val="5"/>
                <c:pt idx="0">
                  <c:v>Rebound</c:v>
                </c:pt>
                <c:pt idx="1">
                  <c:v>Additonal Whole Class PE</c:v>
                </c:pt>
                <c:pt idx="2">
                  <c:v>Primary Lunctime Clubs</c:v>
                </c:pt>
                <c:pt idx="3">
                  <c:v>Inclusion PE</c:v>
                </c:pt>
                <c:pt idx="4">
                  <c:v>Additonal*</c:v>
                </c:pt>
              </c:strCache>
            </c:strRef>
          </c:cat>
          <c:val>
            <c:numRef>
              <c:f>'Jane H Allocation'!$B$4:$B$8</c:f>
              <c:numCache>
                <c:formatCode>General</c:formatCode>
                <c:ptCount val="5"/>
                <c:pt idx="0">
                  <c:v>109</c:v>
                </c:pt>
                <c:pt idx="1">
                  <c:v>29</c:v>
                </c:pt>
                <c:pt idx="2">
                  <c:v>19</c:v>
                </c:pt>
                <c:pt idx="3">
                  <c:v>38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400-4365-9DBB-648BB54BC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Windsor</dc:creator>
  <cp:keywords/>
  <dc:description/>
  <cp:lastModifiedBy>Carrie Osmond</cp:lastModifiedBy>
  <cp:revision>7</cp:revision>
  <cp:lastPrinted>2020-05-27T10:48:00Z</cp:lastPrinted>
  <dcterms:created xsi:type="dcterms:W3CDTF">2019-09-25T09:00:00Z</dcterms:created>
  <dcterms:modified xsi:type="dcterms:W3CDTF">2020-07-07T09:42:00Z</dcterms:modified>
</cp:coreProperties>
</file>